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77" w:rsidRDefault="00BF4777" w:rsidP="00BF47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4777" w:rsidRDefault="00BF4777" w:rsidP="00BF4777">
      <w:pPr>
        <w:widowControl w:val="0"/>
        <w:autoSpaceDE w:val="0"/>
        <w:autoSpaceDN w:val="0"/>
        <w:adjustRightInd w:val="0"/>
      </w:pPr>
      <w:r>
        <w:t xml:space="preserve">SOURCE:  Transferred to 2 Ill. Adm. Code 350 (Office of the State's Attorneys Appellate Prosecutor) pursuant to Section </w:t>
      </w:r>
      <w:r w:rsidR="006B56B8">
        <w:t>5-80(d)</w:t>
      </w:r>
      <w:r>
        <w:t xml:space="preserve"> of the Illinois Administrative Procedure Act (Ill. Rev. Stat. 19</w:t>
      </w:r>
      <w:r w:rsidR="006B56B8">
        <w:t>91</w:t>
      </w:r>
      <w:r>
        <w:t xml:space="preserve">, </w:t>
      </w:r>
      <w:proofErr w:type="spellStart"/>
      <w:r>
        <w:t>ch</w:t>
      </w:r>
      <w:proofErr w:type="spellEnd"/>
      <w:r>
        <w:t>. 127, par. 100</w:t>
      </w:r>
      <w:r w:rsidR="006B56B8">
        <w:t>5-80</w:t>
      </w:r>
      <w:r>
        <w:t>(</w:t>
      </w:r>
      <w:r w:rsidR="006B56B8">
        <w:t>d</w:t>
      </w:r>
      <w:r>
        <w:t xml:space="preserve">)) and the State's Attorneys Appellate Prosecutor's Act (Ill. Rev. Stat. 1985, </w:t>
      </w:r>
      <w:proofErr w:type="spellStart"/>
      <w:r>
        <w:t>ch</w:t>
      </w:r>
      <w:proofErr w:type="spellEnd"/>
      <w:r>
        <w:t xml:space="preserve">. 14, pars. 201 et seq.) at 11 Ill. Reg. </w:t>
      </w:r>
      <w:r w:rsidR="006B56B8">
        <w:t>1666</w:t>
      </w:r>
      <w:r w:rsidR="00077685">
        <w:t>.</w:t>
      </w:r>
    </w:p>
    <w:sectPr w:rsidR="00BF4777" w:rsidSect="00BF47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4777"/>
    <w:rsid w:val="00077685"/>
    <w:rsid w:val="000D1208"/>
    <w:rsid w:val="001678D1"/>
    <w:rsid w:val="006B56B8"/>
    <w:rsid w:val="00BF4777"/>
    <w:rsid w:val="00D05579"/>
    <w:rsid w:val="00D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2 Ill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2 Ill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