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F5" w:rsidRDefault="000A6FF5" w:rsidP="000A6F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6FF5" w:rsidRDefault="000A6FF5" w:rsidP="000A6F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351.520  General Materials Available from the Freedom of Information Officer</w:t>
      </w:r>
      <w:r>
        <w:t xml:space="preserve"> </w:t>
      </w:r>
    </w:p>
    <w:p w:rsidR="000A6FF5" w:rsidRDefault="000A6FF5" w:rsidP="000A6FF5">
      <w:pPr>
        <w:widowControl w:val="0"/>
        <w:autoSpaceDE w:val="0"/>
        <w:autoSpaceDN w:val="0"/>
        <w:adjustRightInd w:val="0"/>
      </w:pPr>
    </w:p>
    <w:p w:rsidR="000A6FF5" w:rsidRDefault="000A6FF5" w:rsidP="000A6FF5">
      <w:pPr>
        <w:widowControl w:val="0"/>
        <w:autoSpaceDE w:val="0"/>
        <w:autoSpaceDN w:val="0"/>
        <w:adjustRightInd w:val="0"/>
      </w:pPr>
      <w:r>
        <w:t xml:space="preserve">The Freedom of Information Officer shall make available to the public at no </w:t>
      </w:r>
      <w:r w:rsidR="00304927">
        <w:t>charge the following materials:</w:t>
      </w:r>
    </w:p>
    <w:p w:rsidR="00304927" w:rsidRDefault="00304927" w:rsidP="000A6FF5">
      <w:pPr>
        <w:widowControl w:val="0"/>
        <w:autoSpaceDE w:val="0"/>
        <w:autoSpaceDN w:val="0"/>
        <w:adjustRightInd w:val="0"/>
      </w:pPr>
    </w:p>
    <w:p w:rsidR="000A6FF5" w:rsidRDefault="000A6FF5" w:rsidP="000A6FF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brief description of the organizational structure and budget of the Commission; </w:t>
      </w:r>
    </w:p>
    <w:p w:rsidR="00304927" w:rsidRDefault="00304927" w:rsidP="000A6FF5">
      <w:pPr>
        <w:widowControl w:val="0"/>
        <w:autoSpaceDE w:val="0"/>
        <w:autoSpaceDN w:val="0"/>
        <w:adjustRightInd w:val="0"/>
        <w:ind w:left="1440" w:hanging="720"/>
      </w:pPr>
    </w:p>
    <w:p w:rsidR="000A6FF5" w:rsidRDefault="000A6FF5" w:rsidP="000A6FF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brief description of the means for requesting information and public records; and </w:t>
      </w:r>
    </w:p>
    <w:p w:rsidR="00304927" w:rsidRDefault="00304927" w:rsidP="000A6FF5">
      <w:pPr>
        <w:widowControl w:val="0"/>
        <w:autoSpaceDE w:val="0"/>
        <w:autoSpaceDN w:val="0"/>
        <w:adjustRightInd w:val="0"/>
        <w:ind w:left="1440" w:hanging="720"/>
      </w:pPr>
    </w:p>
    <w:p w:rsidR="000A6FF5" w:rsidRDefault="000A6FF5" w:rsidP="000A6FF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list of types and categories of public records maintained by the Commission. </w:t>
      </w:r>
    </w:p>
    <w:p w:rsidR="00B93B9C" w:rsidRDefault="00B93B9C" w:rsidP="00B93B9C">
      <w:pPr>
        <w:widowControl w:val="0"/>
        <w:autoSpaceDE w:val="0"/>
        <w:autoSpaceDN w:val="0"/>
        <w:adjustRightInd w:val="0"/>
        <w:ind w:left="684"/>
      </w:pPr>
    </w:p>
    <w:p w:rsidR="00B93B9C" w:rsidRDefault="00B93B9C" w:rsidP="00B93B9C">
      <w:pPr>
        <w:widowControl w:val="0"/>
        <w:autoSpaceDE w:val="0"/>
        <w:autoSpaceDN w:val="0"/>
        <w:adjustRightInd w:val="0"/>
        <w:ind w:left="684"/>
      </w:pPr>
      <w:r>
        <w:t xml:space="preserve">(Source:  transferred from 2 Ill. Adm. Code 301 (State's Attorneys Appellate Service Commission to 2 Ill. Adm. Code 351 Office of the State's Attorneys Appellate Prosecutor pursuant to Section 5-80(d) of the Illinois Administrative Procedure Act (Ill. Rev. Stat. 1991, </w:t>
      </w:r>
      <w:proofErr w:type="spellStart"/>
      <w:r>
        <w:t>ch</w:t>
      </w:r>
      <w:proofErr w:type="spellEnd"/>
      <w:r>
        <w:t xml:space="preserve">. 127, par. 1005-80(d)) and the State's Attorneys Appellate Prosecutor's Act (Ill. Rev. Stat. 1991, </w:t>
      </w:r>
      <w:proofErr w:type="spellStart"/>
      <w:r>
        <w:t>ch</w:t>
      </w:r>
      <w:proofErr w:type="spellEnd"/>
      <w:r>
        <w:t>. 14, par. 201 et seq.) at 10 Ill. Reg. 1664)</w:t>
      </w:r>
    </w:p>
    <w:sectPr w:rsidR="00B93B9C" w:rsidSect="000A6F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6FF5"/>
    <w:rsid w:val="000A6FF5"/>
    <w:rsid w:val="001678D1"/>
    <w:rsid w:val="002E5E9D"/>
    <w:rsid w:val="00304927"/>
    <w:rsid w:val="006C3DC9"/>
    <w:rsid w:val="00B93B9C"/>
    <w:rsid w:val="00D3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351</vt:lpstr>
    </vt:vector>
  </TitlesOfParts>
  <Company>state of illinois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351</dc:title>
  <dc:subject/>
  <dc:creator>Illinois General Assembly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