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F" w:rsidRDefault="001A321F" w:rsidP="001A32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21F" w:rsidRDefault="001A321F" w:rsidP="001A321F">
      <w:pPr>
        <w:widowControl w:val="0"/>
        <w:autoSpaceDE w:val="0"/>
        <w:autoSpaceDN w:val="0"/>
        <w:adjustRightInd w:val="0"/>
        <w:jc w:val="center"/>
      </w:pPr>
      <w:r>
        <w:t>SUBPART B:  PROCEDURES BY WHICH PUBLIC RECORDS MAY BE OBTAINED</w:t>
      </w:r>
    </w:p>
    <w:sectPr w:rsidR="001A321F" w:rsidSect="001A32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21F"/>
    <w:rsid w:val="001678D1"/>
    <w:rsid w:val="001A321F"/>
    <w:rsid w:val="00220B7B"/>
    <w:rsid w:val="00921B57"/>
    <w:rsid w:val="00C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BY WHICH PUBLIC RECORDS MAY BE OBTAINED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BY WHICH PUBLIC RECORDS MAY BE OBTAINED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