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6A" w:rsidRDefault="004E5A6A" w:rsidP="004E5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A6A" w:rsidRDefault="004E5A6A" w:rsidP="004E5A6A">
      <w:pPr>
        <w:widowControl w:val="0"/>
        <w:autoSpaceDE w:val="0"/>
        <w:autoSpaceDN w:val="0"/>
        <w:adjustRightInd w:val="0"/>
      </w:pPr>
      <w:r>
        <w:t>SOURCE:  Adopted at 8 Ill. Reg. 9117, effective June 15, 1984; amended at 8 Ill. Reg. 16838, effective September 14, 1984; amended at 10 Ill. Reg. 20744, effective December 2, 1986; amended at 13 Ill. Reg. 8604, effective May 23, 1989; recodified from Department of Mental Health and Developmental Disabilities to Department of Human Services at 21 Ill. Reg. 9327; old Part repealed at 23 Ill. Reg. 5254 and new Part adopted at 23 Ill. Reg. 5256, effective April 12, 1999; amended at 24 Ill. Reg. 13683, effective August 24, 2000.</w:t>
      </w:r>
    </w:p>
    <w:sectPr w:rsidR="004E5A6A" w:rsidSect="004E5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A6A"/>
    <w:rsid w:val="001678D1"/>
    <w:rsid w:val="003E51E3"/>
    <w:rsid w:val="0042480A"/>
    <w:rsid w:val="004E5A6A"/>
    <w:rsid w:val="00763C20"/>
    <w:rsid w:val="00D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