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E4" w:rsidRDefault="002327E4" w:rsidP="002327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27E4" w:rsidRDefault="002327E4" w:rsidP="002327E4">
      <w:pPr>
        <w:widowControl w:val="0"/>
        <w:autoSpaceDE w:val="0"/>
        <w:autoSpaceDN w:val="0"/>
        <w:adjustRightInd w:val="0"/>
      </w:pPr>
      <w:r>
        <w:t>SOURCE:  Department Rulemaking Procedures adopted at 2 Ill. Reg. 22, p. 93, effective May 23, 1978; amended at 7 Ill. Reg. 3739, effective March 23, 1983; repealed by operation of law October 1, 1984; new rules adopted at 9 Ill. Reg. 15021, effective September 23, 1985.</w:t>
      </w:r>
    </w:p>
    <w:sectPr w:rsidR="002327E4" w:rsidSect="002327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27E4"/>
    <w:rsid w:val="001678D1"/>
    <w:rsid w:val="002327E4"/>
    <w:rsid w:val="0038227B"/>
    <w:rsid w:val="00B67D2F"/>
    <w:rsid w:val="00BD163B"/>
    <w:rsid w:val="00DD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Department Rulemaking Procedures adopted at 2 Ill</vt:lpstr>
    </vt:vector>
  </TitlesOfParts>
  <Company>State of Illinois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Department Rulemaking Procedures adopted at 2 Ill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