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C1" w:rsidRPr="004B3BEF" w:rsidRDefault="000B69C1" w:rsidP="000B69C1">
      <w:bookmarkStart w:id="0" w:name="_GoBack"/>
      <w:bookmarkEnd w:id="0"/>
    </w:p>
    <w:p w:rsidR="000B69C1" w:rsidRPr="00844FED" w:rsidRDefault="000B69C1" w:rsidP="000B69C1">
      <w:pPr>
        <w:rPr>
          <w:b/>
        </w:rPr>
      </w:pPr>
      <w:r>
        <w:rPr>
          <w:b/>
        </w:rPr>
        <w:t>Section 1620.490</w:t>
      </w:r>
      <w:r w:rsidRPr="00844FED">
        <w:rPr>
          <w:b/>
        </w:rPr>
        <w:t xml:space="preserve">  Discovery</w:t>
      </w:r>
    </w:p>
    <w:p w:rsidR="000B69C1" w:rsidRPr="00844FED" w:rsidRDefault="000B69C1" w:rsidP="000B69C1"/>
    <w:p w:rsidR="000B69C1" w:rsidRPr="00844FED" w:rsidRDefault="000B69C1" w:rsidP="000B69C1">
      <w:pPr>
        <w:ind w:left="1440" w:hanging="720"/>
      </w:pPr>
      <w:r>
        <w:t>a)</w:t>
      </w:r>
      <w:r>
        <w:tab/>
      </w:r>
      <w:r w:rsidRPr="00844FED">
        <w:t>The parties shall not engage in discovery without leave of the Commission, but the Commission encourages the voluntary exchange of information by the parties.</w:t>
      </w:r>
    </w:p>
    <w:p w:rsidR="000B69C1" w:rsidRPr="00844FED" w:rsidRDefault="000B69C1" w:rsidP="000B69C1">
      <w:pPr>
        <w:ind w:left="720"/>
      </w:pPr>
    </w:p>
    <w:p w:rsidR="000B69C1" w:rsidRPr="00844FED" w:rsidRDefault="000B69C1" w:rsidP="000B69C1">
      <w:pPr>
        <w:ind w:left="1440" w:hanging="720"/>
      </w:pPr>
      <w:r>
        <w:t>b)</w:t>
      </w:r>
      <w:r>
        <w:tab/>
      </w:r>
      <w:r w:rsidRPr="00844FED">
        <w:t xml:space="preserve">At least </w:t>
      </w:r>
      <w:r w:rsidR="00CB68A1">
        <w:t>2</w:t>
      </w:r>
      <w:r w:rsidRPr="00844FED">
        <w:t xml:space="preserve"> weeks prior to the scheduled hearing or at a date determined by the Chair or an administrative law judge, if any, each party must file with the Commission and disclose to the other party:</w:t>
      </w:r>
    </w:p>
    <w:p w:rsidR="000B69C1" w:rsidRDefault="000B69C1" w:rsidP="000B69C1"/>
    <w:p w:rsidR="000B69C1" w:rsidRPr="00844FED" w:rsidRDefault="000B69C1" w:rsidP="000B69C1">
      <w:pPr>
        <w:ind w:left="720" w:firstLine="720"/>
      </w:pPr>
      <w:r>
        <w:t>1)</w:t>
      </w:r>
      <w:r>
        <w:tab/>
      </w:r>
      <w:r w:rsidRPr="00844FED">
        <w:t>the names of all witnesses expected to testify at hearing</w:t>
      </w:r>
      <w:r>
        <w:t>;</w:t>
      </w:r>
    </w:p>
    <w:p w:rsidR="000B69C1" w:rsidRPr="00844FED" w:rsidRDefault="000B69C1" w:rsidP="000B69C1">
      <w:pPr>
        <w:ind w:left="1080"/>
      </w:pPr>
    </w:p>
    <w:p w:rsidR="000B69C1" w:rsidRPr="00844FED" w:rsidRDefault="000B69C1" w:rsidP="000B69C1">
      <w:pPr>
        <w:ind w:left="720" w:firstLine="720"/>
      </w:pPr>
      <w:r>
        <w:t>2)</w:t>
      </w:r>
      <w:r>
        <w:tab/>
      </w:r>
      <w:r w:rsidRPr="00844FED">
        <w:t>a summary of the witnesses' expected testimony</w:t>
      </w:r>
      <w:r>
        <w:t>;</w:t>
      </w:r>
    </w:p>
    <w:p w:rsidR="000B69C1" w:rsidRPr="00844FED" w:rsidRDefault="000B69C1" w:rsidP="000B69C1"/>
    <w:p w:rsidR="000B69C1" w:rsidRPr="00844FED" w:rsidRDefault="000B69C1" w:rsidP="000B69C1">
      <w:pPr>
        <w:ind w:left="2160" w:hanging="720"/>
      </w:pPr>
      <w:r>
        <w:t>3)</w:t>
      </w:r>
      <w:r>
        <w:tab/>
      </w:r>
      <w:r w:rsidRPr="00844FED">
        <w:t>copies of all documents expected to be introduced into evidence at hearing</w:t>
      </w:r>
      <w:r>
        <w:t>;</w:t>
      </w:r>
      <w:r w:rsidRPr="00844FED">
        <w:t xml:space="preserve"> </w:t>
      </w:r>
    </w:p>
    <w:p w:rsidR="000B69C1" w:rsidRPr="00844FED" w:rsidRDefault="000B69C1" w:rsidP="000B69C1"/>
    <w:p w:rsidR="000B69C1" w:rsidRPr="00844FED" w:rsidRDefault="000B69C1" w:rsidP="000B69C1">
      <w:pPr>
        <w:ind w:left="2160" w:hanging="720"/>
      </w:pPr>
      <w:r>
        <w:t>4)</w:t>
      </w:r>
      <w:r>
        <w:tab/>
      </w:r>
      <w:r w:rsidRPr="00844FED">
        <w:t xml:space="preserve">a description of any physical evidence expected to be introduced at hearing; </w:t>
      </w:r>
    </w:p>
    <w:p w:rsidR="000B69C1" w:rsidRPr="00844FED" w:rsidRDefault="000B69C1" w:rsidP="000B69C1"/>
    <w:p w:rsidR="000B69C1" w:rsidRDefault="000B69C1" w:rsidP="000B69C1">
      <w:pPr>
        <w:ind w:left="2160" w:hanging="720"/>
      </w:pPr>
      <w:r>
        <w:t>5)</w:t>
      </w:r>
      <w:r>
        <w:tab/>
      </w:r>
      <w:r w:rsidRPr="00844FED">
        <w:t xml:space="preserve">any known evidence that </w:t>
      </w:r>
      <w:r>
        <w:t xml:space="preserve">is exculpatory or </w:t>
      </w:r>
      <w:r w:rsidRPr="00844FED">
        <w:t>tends to negate the allegations contained in the complaint</w:t>
      </w:r>
      <w:r>
        <w:t>; and</w:t>
      </w:r>
    </w:p>
    <w:p w:rsidR="000B69C1" w:rsidRDefault="000B69C1" w:rsidP="000B69C1">
      <w:pPr>
        <w:ind w:left="2160" w:hanging="720"/>
      </w:pPr>
    </w:p>
    <w:p w:rsidR="000B69C1" w:rsidRPr="000B69C1" w:rsidRDefault="000B69C1" w:rsidP="000B69C1">
      <w:pPr>
        <w:ind w:left="2160" w:hanging="720"/>
      </w:pPr>
      <w:r w:rsidRPr="000B69C1">
        <w:t>6)</w:t>
      </w:r>
      <w:r>
        <w:tab/>
      </w:r>
      <w:r w:rsidRPr="000B69C1">
        <w:t>any statements or recordings of statements made by a respondent, or summaries of a respondent</w:t>
      </w:r>
      <w:r>
        <w:t>'</w:t>
      </w:r>
      <w:r w:rsidRPr="000B69C1">
        <w:t xml:space="preserve">s interview. </w:t>
      </w:r>
    </w:p>
    <w:p w:rsidR="000B69C1" w:rsidRPr="00844FED" w:rsidRDefault="000B69C1" w:rsidP="000B69C1">
      <w:pPr>
        <w:ind w:left="2160" w:hanging="720"/>
      </w:pPr>
    </w:p>
    <w:p w:rsidR="000B69C1" w:rsidRPr="00844FED" w:rsidRDefault="000B69C1" w:rsidP="000B69C1">
      <w:pPr>
        <w:ind w:left="1440" w:hanging="720"/>
      </w:pPr>
      <w:r>
        <w:t>c)</w:t>
      </w:r>
      <w:r>
        <w:tab/>
      </w:r>
      <w:r w:rsidRPr="00844FED">
        <w:t xml:space="preserve">Any physical evidence expected to be introduced at hearing shall be made available to the other party for inspection at least </w:t>
      </w:r>
      <w:r w:rsidR="00226573">
        <w:t>2</w:t>
      </w:r>
      <w:r w:rsidRPr="00844FED">
        <w:t xml:space="preserve"> weeks prior to the scheduled hearing or at a date determined by the Chair or an administrative law judge, if any.</w:t>
      </w:r>
    </w:p>
    <w:p w:rsidR="000B69C1" w:rsidRDefault="000B69C1" w:rsidP="000B69C1"/>
    <w:p w:rsidR="000B69C1" w:rsidRPr="00844FED" w:rsidRDefault="000B69C1" w:rsidP="000B69C1">
      <w:pPr>
        <w:ind w:left="1440" w:hanging="720"/>
        <w:rPr>
          <w:snapToGrid w:val="0"/>
          <w:u w:val="single"/>
        </w:rPr>
      </w:pPr>
      <w:r>
        <w:t>d)</w:t>
      </w:r>
      <w:r>
        <w:tab/>
      </w:r>
      <w:r w:rsidRPr="00844FED">
        <w:rPr>
          <w:snapToGrid w:val="0"/>
        </w:rPr>
        <w:t>All writings or electronic recordings in the possession of either party</w:t>
      </w:r>
      <w:r>
        <w:rPr>
          <w:snapToGrid w:val="0"/>
        </w:rPr>
        <w:t xml:space="preserve"> </w:t>
      </w:r>
      <w:r w:rsidRPr="00844FED">
        <w:rPr>
          <w:snapToGrid w:val="0"/>
        </w:rPr>
        <w:t>reflecting prior statements of an identified witness</w:t>
      </w:r>
      <w:r w:rsidR="0067610B">
        <w:rPr>
          <w:snapToGrid w:val="0"/>
        </w:rPr>
        <w:t xml:space="preserve"> </w:t>
      </w:r>
      <w:r w:rsidRPr="00844FED">
        <w:rPr>
          <w:snapToGrid w:val="0"/>
        </w:rPr>
        <w:t>related in any way to the subject matter of the</w:t>
      </w:r>
      <w:r>
        <w:rPr>
          <w:snapToGrid w:val="0"/>
        </w:rPr>
        <w:t xml:space="preserve"> </w:t>
      </w:r>
      <w:r w:rsidRPr="00844FED">
        <w:rPr>
          <w:snapToGrid w:val="0"/>
        </w:rPr>
        <w:t>witness' expected testimony, or to matters bearing on the witness'</w:t>
      </w:r>
      <w:r>
        <w:rPr>
          <w:snapToGrid w:val="0"/>
        </w:rPr>
        <w:t xml:space="preserve"> </w:t>
      </w:r>
      <w:r w:rsidRPr="00844FED">
        <w:rPr>
          <w:snapToGrid w:val="0"/>
        </w:rPr>
        <w:t>credibility, shall be filed with the Commission and be produced to the opposing party no later than one week prior to the commencement of the hearing or at a date determined by the Chair or administrative law judge, if</w:t>
      </w:r>
      <w:r>
        <w:rPr>
          <w:snapToGrid w:val="0"/>
        </w:rPr>
        <w:t xml:space="preserve"> </w:t>
      </w:r>
      <w:r w:rsidRPr="00844FED">
        <w:rPr>
          <w:snapToGrid w:val="0"/>
        </w:rPr>
        <w:t>any.  If a statement is part of notes that were taken during the case investigation, the notes may be redacted to remove the author</w:t>
      </w:r>
      <w:r>
        <w:rPr>
          <w:snapToGrid w:val="0"/>
        </w:rPr>
        <w:t>'</w:t>
      </w:r>
      <w:r w:rsidRPr="00844FED">
        <w:rPr>
          <w:snapToGrid w:val="0"/>
        </w:rPr>
        <w:t>s thoughts, mental impressions or other work product.</w:t>
      </w:r>
    </w:p>
    <w:p w:rsidR="000B69C1" w:rsidRPr="00844FED" w:rsidRDefault="000B69C1" w:rsidP="000B69C1">
      <w:pPr>
        <w:rPr>
          <w:snapToGrid w:val="0"/>
        </w:rPr>
      </w:pPr>
    </w:p>
    <w:p w:rsidR="000B69C1" w:rsidRDefault="000B69C1" w:rsidP="000B69C1">
      <w:pPr>
        <w:ind w:left="1440" w:hanging="720"/>
      </w:pPr>
      <w:r>
        <w:t>e)</w:t>
      </w:r>
      <w:r>
        <w:tab/>
      </w:r>
      <w:r w:rsidRPr="00844FED">
        <w:t xml:space="preserve">A party offering testimony or evidence that has not been disclosed in accordance with this </w:t>
      </w:r>
      <w:r>
        <w:t>S</w:t>
      </w:r>
      <w:r w:rsidRPr="00844FED">
        <w:t xml:space="preserve">ection has the burden to show that the evidence was not available at the time required by this </w:t>
      </w:r>
      <w:r>
        <w:t>S</w:t>
      </w:r>
      <w:r w:rsidRPr="00844FED">
        <w:t>ection and that the other party has not been unfairly prejudiced by the failure to disclose.</w:t>
      </w:r>
    </w:p>
    <w:p w:rsidR="000B69C1" w:rsidRDefault="000B69C1" w:rsidP="000B69C1">
      <w:pPr>
        <w:ind w:left="1440" w:hanging="720"/>
      </w:pPr>
    </w:p>
    <w:p w:rsidR="000B69C1" w:rsidRPr="00D55B37" w:rsidRDefault="000B69C1">
      <w:pPr>
        <w:pStyle w:val="JCARSourceNote"/>
        <w:ind w:left="720"/>
      </w:pPr>
      <w:r w:rsidRPr="00D55B37">
        <w:lastRenderedPageBreak/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BB7B6A">
        <w:t>13108</w:t>
      </w:r>
      <w:r w:rsidRPr="00D55B37">
        <w:t xml:space="preserve">, effective </w:t>
      </w:r>
      <w:r w:rsidR="00BB7B6A">
        <w:t>August 27, 2010</w:t>
      </w:r>
      <w:r w:rsidRPr="00D55B37">
        <w:t>)</w:t>
      </w:r>
    </w:p>
    <w:sectPr w:rsidR="000B69C1" w:rsidRPr="00D55B37" w:rsidSect="001C015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6CF" w:rsidRDefault="002B26CF">
      <w:r>
        <w:separator/>
      </w:r>
    </w:p>
  </w:endnote>
  <w:endnote w:type="continuationSeparator" w:id="0">
    <w:p w:rsidR="002B26CF" w:rsidRDefault="002B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6CF" w:rsidRDefault="002B26CF">
      <w:r>
        <w:separator/>
      </w:r>
    </w:p>
  </w:footnote>
  <w:footnote w:type="continuationSeparator" w:id="0">
    <w:p w:rsidR="002B26CF" w:rsidRDefault="002B2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38C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69C1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B7359"/>
    <w:rsid w:val="001C0152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73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26CF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09E9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610B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38C7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1C27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7A64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3990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3C14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B7B6A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68A1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352E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9C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9C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