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78" w:rsidRDefault="00903F78" w:rsidP="00903F78">
      <w:pPr>
        <w:widowControl w:val="0"/>
        <w:autoSpaceDE w:val="0"/>
        <w:autoSpaceDN w:val="0"/>
        <w:adjustRightInd w:val="0"/>
      </w:pPr>
      <w:bookmarkStart w:id="0" w:name="_GoBack"/>
      <w:bookmarkEnd w:id="0"/>
    </w:p>
    <w:p w:rsidR="00903F78" w:rsidRDefault="00903F78" w:rsidP="00903F78">
      <w:pPr>
        <w:widowControl w:val="0"/>
        <w:autoSpaceDE w:val="0"/>
        <w:autoSpaceDN w:val="0"/>
        <w:adjustRightInd w:val="0"/>
      </w:pPr>
      <w:r>
        <w:rPr>
          <w:b/>
          <w:bCs/>
        </w:rPr>
        <w:t>Section 1828.404  Agency Actions Following a Determination that a Public Record is Exempt from Disclosure</w:t>
      </w:r>
      <w:r>
        <w:t xml:space="preserve"> </w:t>
      </w:r>
    </w:p>
    <w:p w:rsidR="00903F78" w:rsidRDefault="00903F78" w:rsidP="00903F78">
      <w:pPr>
        <w:widowControl w:val="0"/>
        <w:autoSpaceDE w:val="0"/>
        <w:autoSpaceDN w:val="0"/>
        <w:adjustRightInd w:val="0"/>
      </w:pPr>
    </w:p>
    <w:p w:rsidR="00903F78" w:rsidRDefault="00903F78" w:rsidP="00903F78">
      <w:pPr>
        <w:widowControl w:val="0"/>
        <w:autoSpaceDE w:val="0"/>
        <w:autoSpaceDN w:val="0"/>
        <w:adjustRightInd w:val="0"/>
      </w:pPr>
      <w:r>
        <w:t xml:space="preserve">If the Agency determines, in response to a claim of exemption from disclosure, that a public record or any portion thereof is exempt from disclosure, the Agency shall grant the claim and shall give written notice of such granting by first class mail to the submitter of the public record. </w:t>
      </w:r>
    </w:p>
    <w:sectPr w:rsidR="00903F78" w:rsidSect="00903F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3F78"/>
    <w:rsid w:val="00135C81"/>
    <w:rsid w:val="001678D1"/>
    <w:rsid w:val="00502BD7"/>
    <w:rsid w:val="00903F78"/>
    <w:rsid w:val="00C3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