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83" w:rsidRDefault="00B25A83" w:rsidP="00B25A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QUALIFICATIONS OF ARBITRATORS</w:t>
      </w:r>
    </w:p>
    <w:p w:rsidR="00B25A83" w:rsidRDefault="00B25A83" w:rsidP="00B25A83">
      <w:pPr>
        <w:widowControl w:val="0"/>
        <w:autoSpaceDE w:val="0"/>
        <w:autoSpaceDN w:val="0"/>
        <w:adjustRightInd w:val="0"/>
        <w:jc w:val="center"/>
      </w:pPr>
    </w:p>
    <w:p w:rsidR="00B25A83" w:rsidRDefault="00B25A83" w:rsidP="00B25A8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2027.10</w:t>
      </w:r>
      <w:r>
        <w:tab/>
        <w:t xml:space="preserve">Qualifications of Arbitrators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CODE OF CONDUCT FOR ARBITRATORS AND COMMISSIONERS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2027.110</w:t>
      </w:r>
      <w:r>
        <w:tab/>
        <w:t xml:space="preserve">Preamble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2027.120</w:t>
      </w:r>
      <w:r>
        <w:tab/>
        <w:t xml:space="preserve">Standards of Conduct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2027.130</w:t>
      </w:r>
      <w:r>
        <w:tab/>
        <w:t xml:space="preserve">Civic and Charitable Activities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2027.140</w:t>
      </w:r>
      <w:r>
        <w:tab/>
        <w:t xml:space="preserve">Gifts and Gratuities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2027.150</w:t>
      </w:r>
      <w:r>
        <w:tab/>
        <w:t xml:space="preserve">Reporting of Misconduct </w:t>
      </w:r>
    </w:p>
    <w:p w:rsidR="00B25A83" w:rsidRDefault="00B25A83" w:rsidP="00B25A83">
      <w:pPr>
        <w:widowControl w:val="0"/>
        <w:autoSpaceDE w:val="0"/>
        <w:autoSpaceDN w:val="0"/>
        <w:adjustRightInd w:val="0"/>
        <w:ind w:left="1440" w:hanging="1440"/>
      </w:pPr>
      <w:r>
        <w:t>2027.160</w:t>
      </w:r>
      <w:r>
        <w:tab/>
        <w:t xml:space="preserve">Violation </w:t>
      </w:r>
    </w:p>
    <w:sectPr w:rsidR="00B25A83" w:rsidSect="00B25A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A83"/>
    <w:rsid w:val="001D64B6"/>
    <w:rsid w:val="005B09B0"/>
    <w:rsid w:val="008A3F2F"/>
    <w:rsid w:val="00B25A8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QUALIFICATIONS OF ARBITRATORS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QUALIFICATIONS OF ARBITRATORS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