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23" w:rsidRDefault="00903A23" w:rsidP="00903A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3A23" w:rsidRDefault="00903A23" w:rsidP="00903A23">
      <w:pPr>
        <w:widowControl w:val="0"/>
        <w:autoSpaceDE w:val="0"/>
        <w:autoSpaceDN w:val="0"/>
        <w:adjustRightInd w:val="0"/>
      </w:pPr>
      <w:r>
        <w:t>SOURCE:  Deleted pursuant to P.A.</w:t>
      </w:r>
      <w:r w:rsidR="00313381">
        <w:t xml:space="preserve"> 85</w:t>
      </w:r>
      <w:r>
        <w:t>-1326, effective August 31, 1988, at 13 Ill. Reg</w:t>
      </w:r>
      <w:r w:rsidR="00B0380D">
        <w:t xml:space="preserve">. 7816, effective May 5, 1989. </w:t>
      </w:r>
    </w:p>
    <w:sectPr w:rsidR="00903A23" w:rsidSect="00903A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A23"/>
    <w:rsid w:val="00077879"/>
    <w:rsid w:val="001678D1"/>
    <w:rsid w:val="00313381"/>
    <w:rsid w:val="00903A23"/>
    <w:rsid w:val="00B0380D"/>
    <w:rsid w:val="00CE7DCB"/>
    <w:rsid w:val="00F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Deleted pursuant to P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Deleted pursuant to P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