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32" w:rsidRDefault="00E25D32" w:rsidP="00E25D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5D32" w:rsidRDefault="00E25D32" w:rsidP="00E25D32">
      <w:pPr>
        <w:widowControl w:val="0"/>
        <w:autoSpaceDE w:val="0"/>
        <w:autoSpaceDN w:val="0"/>
        <w:adjustRightInd w:val="0"/>
      </w:pPr>
      <w:r>
        <w:t xml:space="preserve">AUTHORITY:  Implementing 28 CFR 35.107 (56 Fed. Reg. 35,718 (1991)) and authorized by Section 4 of the Attorney General Act (Ill. Rev. Stat. 1991, ch. 14, par. 4) [15 ILCS 205/4] and Sections 5-10 and 5-35 of the Illinois Administrative Procedure Act (Ill. Rev. Stat. 1991, ch. 127, pars. 1005-10 and 1005-35) [5 ILCS 100/5-10 and 100/5-35]. </w:t>
      </w:r>
    </w:p>
    <w:sectPr w:rsidR="00E25D32" w:rsidSect="00E25D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5D32"/>
    <w:rsid w:val="001678D1"/>
    <w:rsid w:val="008F2DFD"/>
    <w:rsid w:val="00A110A4"/>
    <w:rsid w:val="00E25D32"/>
    <w:rsid w:val="00E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28 CFR 35</vt:lpstr>
    </vt:vector>
  </TitlesOfParts>
  <Company>state of illinois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28 CFR 35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