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CE" w:rsidRDefault="009C0ECE" w:rsidP="009C0E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0ECE" w:rsidRDefault="009C0ECE" w:rsidP="009C0ECE">
      <w:pPr>
        <w:widowControl w:val="0"/>
        <w:autoSpaceDE w:val="0"/>
        <w:autoSpaceDN w:val="0"/>
        <w:adjustRightInd w:val="0"/>
      </w:pPr>
      <w:r>
        <w:t xml:space="preserve">AUTHORITY:  Implementing and authorized by the Animal Disease Laboratories Act [510 </w:t>
      </w:r>
      <w:proofErr w:type="spellStart"/>
      <w:r>
        <w:t>ILCS</w:t>
      </w:r>
      <w:proofErr w:type="spellEnd"/>
      <w:r>
        <w:t xml:space="preserve"> 10]. </w:t>
      </w:r>
    </w:p>
    <w:sectPr w:rsidR="009C0ECE" w:rsidSect="009C0E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ECE"/>
    <w:rsid w:val="001678D1"/>
    <w:rsid w:val="00494251"/>
    <w:rsid w:val="00557D66"/>
    <w:rsid w:val="006E46F5"/>
    <w:rsid w:val="009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Animal Disease Laboratories Act [510 ILCS 10]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Animal Disease Laboratories Act [510 ILCS 10]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