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35" w:rsidRDefault="004A4735" w:rsidP="004A47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4735" w:rsidRDefault="004A4735" w:rsidP="004A473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300.40  </w:t>
      </w:r>
      <w:proofErr w:type="spellStart"/>
      <w:r>
        <w:rPr>
          <w:b/>
          <w:bCs/>
        </w:rPr>
        <w:t>Pari-Mutuel</w:t>
      </w:r>
      <w:proofErr w:type="spellEnd"/>
      <w:r>
        <w:rPr>
          <w:b/>
          <w:bCs/>
        </w:rPr>
        <w:t xml:space="preserve"> Wagers</w:t>
      </w:r>
      <w:r>
        <w:t xml:space="preserve"> </w:t>
      </w:r>
    </w:p>
    <w:p w:rsidR="004A4735" w:rsidRDefault="004A4735" w:rsidP="004A4735">
      <w:pPr>
        <w:widowControl w:val="0"/>
        <w:autoSpaceDE w:val="0"/>
        <w:autoSpaceDN w:val="0"/>
        <w:adjustRightInd w:val="0"/>
      </w:pPr>
    </w:p>
    <w:p w:rsidR="004A4735" w:rsidRDefault="004A4735" w:rsidP="004A473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organization, </w:t>
      </w:r>
      <w:proofErr w:type="spellStart"/>
      <w:r>
        <w:t>intertrack</w:t>
      </w:r>
      <w:proofErr w:type="spellEnd"/>
      <w:r>
        <w:t xml:space="preserve"> and </w:t>
      </w:r>
      <w:proofErr w:type="spellStart"/>
      <w:r>
        <w:t>intertrack</w:t>
      </w:r>
      <w:proofErr w:type="spellEnd"/>
      <w:r>
        <w:t xml:space="preserve"> wagering location licensees shall offer the same types of pari-mutuel pools and minimum pari-mutuel prices at both manned and unmanned terminals, unless specifically restricted by Board rule (e.g., tickets may not be exchanged at unmanned ticket issuing machines). </w:t>
      </w:r>
    </w:p>
    <w:p w:rsidR="00204C29" w:rsidRDefault="00204C29" w:rsidP="004A4735">
      <w:pPr>
        <w:widowControl w:val="0"/>
        <w:autoSpaceDE w:val="0"/>
        <w:autoSpaceDN w:val="0"/>
        <w:adjustRightInd w:val="0"/>
        <w:ind w:left="1440" w:hanging="720"/>
      </w:pPr>
    </w:p>
    <w:p w:rsidR="004A4735" w:rsidRDefault="004A4735" w:rsidP="004A473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</w:t>
      </w:r>
      <w:proofErr w:type="spellStart"/>
      <w:r>
        <w:t>intertrack</w:t>
      </w:r>
      <w:proofErr w:type="spellEnd"/>
      <w:r>
        <w:t xml:space="preserve"> wagering facilities shall establish and maintain minimum purchase prices of pari-mutuel wagers that are the same as those offered by the organization licensee providing the simulcast. </w:t>
      </w:r>
    </w:p>
    <w:p w:rsidR="00204C29" w:rsidRDefault="00204C29" w:rsidP="004A4735">
      <w:pPr>
        <w:widowControl w:val="0"/>
        <w:autoSpaceDE w:val="0"/>
        <w:autoSpaceDN w:val="0"/>
        <w:adjustRightInd w:val="0"/>
        <w:ind w:left="1440" w:hanging="720"/>
      </w:pPr>
    </w:p>
    <w:p w:rsidR="004A4735" w:rsidRDefault="004A4735" w:rsidP="004A473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organization licensees shall require out-of-state wagering facilities to maintain the same minimum purchase prices of pari-mutuel wagers established for Illinois licensees.  If it is determined that an out-of-state wagering facility has not maintained the same minimum purchase price of pari-mutuel wagers, the organization licensee shall be subject to civil penalties pursuant to Section 5/9(l) of the Act [230 ILCS 5/9(l)]. This Section shall apply only to organization licensees conducting commingled or combined wagering pools with out-of-state wagering facilities. </w:t>
      </w:r>
    </w:p>
    <w:p w:rsidR="00204C29" w:rsidRDefault="00204C29" w:rsidP="004A4735">
      <w:pPr>
        <w:widowControl w:val="0"/>
        <w:autoSpaceDE w:val="0"/>
        <w:autoSpaceDN w:val="0"/>
        <w:adjustRightInd w:val="0"/>
        <w:ind w:left="1440" w:hanging="720"/>
      </w:pPr>
    </w:p>
    <w:p w:rsidR="004A4735" w:rsidRDefault="004A4735" w:rsidP="004A473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</w:t>
      </w:r>
      <w:proofErr w:type="spellStart"/>
      <w:r>
        <w:t>intertrack</w:t>
      </w:r>
      <w:proofErr w:type="spellEnd"/>
      <w:r>
        <w:t xml:space="preserve"> wagering facilities shall offer the same pari-mutuel pools as offered by the organization providing the simulcast. </w:t>
      </w:r>
    </w:p>
    <w:p w:rsidR="004A4735" w:rsidRDefault="004A4735" w:rsidP="004A4735">
      <w:pPr>
        <w:widowControl w:val="0"/>
        <w:autoSpaceDE w:val="0"/>
        <w:autoSpaceDN w:val="0"/>
        <w:adjustRightInd w:val="0"/>
        <w:ind w:left="1440" w:hanging="720"/>
      </w:pPr>
    </w:p>
    <w:p w:rsidR="004A4735" w:rsidRDefault="004A4735" w:rsidP="004A473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13935, effective November 2, 1999) </w:t>
      </w:r>
    </w:p>
    <w:sectPr w:rsidR="004A4735" w:rsidSect="004A47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4735"/>
    <w:rsid w:val="001678D1"/>
    <w:rsid w:val="00204C29"/>
    <w:rsid w:val="00232437"/>
    <w:rsid w:val="004A4735"/>
    <w:rsid w:val="00942EC8"/>
    <w:rsid w:val="0096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