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07" w:rsidRDefault="00274D07" w:rsidP="001010FE">
      <w:pPr>
        <w:widowControl w:val="0"/>
        <w:autoSpaceDE w:val="0"/>
        <w:autoSpaceDN w:val="0"/>
        <w:adjustRightInd w:val="0"/>
        <w:ind w:left="1368" w:hanging="1368"/>
      </w:pPr>
      <w:bookmarkStart w:id="0" w:name="_GoBack"/>
      <w:bookmarkEnd w:id="0"/>
      <w:r>
        <w:t xml:space="preserve">Section </w:t>
      </w:r>
    </w:p>
    <w:p w:rsidR="00274D07" w:rsidRDefault="00274D07" w:rsidP="001010FE">
      <w:pPr>
        <w:widowControl w:val="0"/>
        <w:autoSpaceDE w:val="0"/>
        <w:autoSpaceDN w:val="0"/>
        <w:adjustRightInd w:val="0"/>
        <w:ind w:left="1368" w:hanging="1368"/>
      </w:pPr>
      <w:r>
        <w:t>412.10</w:t>
      </w:r>
      <w:r>
        <w:tab/>
        <w:t xml:space="preserve">Definitions </w:t>
      </w:r>
    </w:p>
    <w:p w:rsidR="00274D07" w:rsidRDefault="00274D07" w:rsidP="001010FE">
      <w:pPr>
        <w:widowControl w:val="0"/>
        <w:autoSpaceDE w:val="0"/>
        <w:autoSpaceDN w:val="0"/>
        <w:adjustRightInd w:val="0"/>
        <w:ind w:left="1368" w:hanging="1368"/>
      </w:pPr>
      <w:r>
        <w:t>412.20</w:t>
      </w:r>
      <w:r>
        <w:tab/>
        <w:t xml:space="preserve">Application of Regulation </w:t>
      </w:r>
    </w:p>
    <w:p w:rsidR="00274D07" w:rsidRDefault="00274D07" w:rsidP="001010FE">
      <w:pPr>
        <w:widowControl w:val="0"/>
        <w:autoSpaceDE w:val="0"/>
        <w:autoSpaceDN w:val="0"/>
        <w:adjustRightInd w:val="0"/>
        <w:ind w:left="1368" w:hanging="1368"/>
      </w:pPr>
      <w:r>
        <w:t>412.30</w:t>
      </w:r>
      <w:r>
        <w:tab/>
        <w:t xml:space="preserve">Rules of General Application </w:t>
      </w:r>
    </w:p>
    <w:p w:rsidR="00274D07" w:rsidRDefault="00274D07" w:rsidP="001010FE">
      <w:pPr>
        <w:widowControl w:val="0"/>
        <w:autoSpaceDE w:val="0"/>
        <w:autoSpaceDN w:val="0"/>
        <w:adjustRightInd w:val="0"/>
        <w:ind w:left="1368" w:hanging="1368"/>
      </w:pPr>
      <w:r>
        <w:t>412.40</w:t>
      </w:r>
      <w:r>
        <w:tab/>
        <w:t xml:space="preserve">General Notes to Financial Statements </w:t>
      </w:r>
    </w:p>
    <w:p w:rsidR="00274D07" w:rsidRDefault="00274D07" w:rsidP="001010FE">
      <w:pPr>
        <w:widowControl w:val="0"/>
        <w:autoSpaceDE w:val="0"/>
        <w:autoSpaceDN w:val="0"/>
        <w:adjustRightInd w:val="0"/>
        <w:ind w:left="1368" w:hanging="1368"/>
      </w:pPr>
      <w:r>
        <w:t>412.50</w:t>
      </w:r>
      <w:r>
        <w:tab/>
        <w:t xml:space="preserve">Balance Sheet Accounts </w:t>
      </w:r>
    </w:p>
    <w:p w:rsidR="00274D07" w:rsidRDefault="00274D07" w:rsidP="001010FE">
      <w:pPr>
        <w:widowControl w:val="0"/>
        <w:autoSpaceDE w:val="0"/>
        <w:autoSpaceDN w:val="0"/>
        <w:adjustRightInd w:val="0"/>
        <w:ind w:left="1368" w:hanging="1368"/>
      </w:pPr>
      <w:r>
        <w:t>412.60</w:t>
      </w:r>
      <w:r>
        <w:tab/>
        <w:t xml:space="preserve">Income Accounts </w:t>
      </w:r>
    </w:p>
    <w:p w:rsidR="00274D07" w:rsidRDefault="00274D07" w:rsidP="001010FE">
      <w:pPr>
        <w:widowControl w:val="0"/>
        <w:autoSpaceDE w:val="0"/>
        <w:autoSpaceDN w:val="0"/>
        <w:adjustRightInd w:val="0"/>
        <w:ind w:left="1368" w:hanging="1368"/>
      </w:pPr>
      <w:r>
        <w:t>412.70</w:t>
      </w:r>
      <w:r>
        <w:tab/>
        <w:t xml:space="preserve">Expense Accounts </w:t>
      </w:r>
    </w:p>
    <w:sectPr w:rsidR="00274D07" w:rsidSect="00274D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4D07"/>
    <w:rsid w:val="001010FE"/>
    <w:rsid w:val="00274D07"/>
    <w:rsid w:val="00454A30"/>
    <w:rsid w:val="008C796E"/>
    <w:rsid w:val="00C664D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