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EC" w:rsidRDefault="000C06EC" w:rsidP="000C06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06EC" w:rsidRDefault="000C06EC" w:rsidP="000C06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422.110  Penalties</w:t>
      </w:r>
      <w:r>
        <w:t xml:space="preserve"> </w:t>
      </w:r>
    </w:p>
    <w:p w:rsidR="000C06EC" w:rsidRDefault="000C06EC" w:rsidP="000C06EC">
      <w:pPr>
        <w:widowControl w:val="0"/>
        <w:autoSpaceDE w:val="0"/>
        <w:autoSpaceDN w:val="0"/>
        <w:adjustRightInd w:val="0"/>
      </w:pPr>
    </w:p>
    <w:p w:rsidR="000C06EC" w:rsidRDefault="000C06EC" w:rsidP="000C06EC">
      <w:pPr>
        <w:widowControl w:val="0"/>
        <w:autoSpaceDE w:val="0"/>
        <w:autoSpaceDN w:val="0"/>
        <w:adjustRightInd w:val="0"/>
      </w:pPr>
      <w:r>
        <w:t xml:space="preserve">For each violation of this Part 422, the Board shall impose a civil penalty of up to $1,000 against individuals and up to $10,000 against organizations.  When imposing penalties, the Board shall consider all factors in aggravation or mitigation of the offense including, but not limited to, the degree of culpability; the offender's record, if any, of previous violations, and the damage to the state. </w:t>
      </w:r>
    </w:p>
    <w:p w:rsidR="000C06EC" w:rsidRDefault="000C06EC" w:rsidP="000C06EC">
      <w:pPr>
        <w:widowControl w:val="0"/>
        <w:autoSpaceDE w:val="0"/>
        <w:autoSpaceDN w:val="0"/>
        <w:adjustRightInd w:val="0"/>
      </w:pPr>
    </w:p>
    <w:p w:rsidR="000C06EC" w:rsidRDefault="000C06EC" w:rsidP="000C06E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13069, effective August 10, 1992) </w:t>
      </w:r>
    </w:p>
    <w:sectPr w:rsidR="000C06EC" w:rsidSect="000C06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6EC"/>
    <w:rsid w:val="000C06EC"/>
    <w:rsid w:val="001678D1"/>
    <w:rsid w:val="006C6A2E"/>
    <w:rsid w:val="00C703EB"/>
    <w:rsid w:val="00E2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422</vt:lpstr>
    </vt:vector>
  </TitlesOfParts>
  <Company>State of Illinois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422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