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1A" w:rsidRDefault="004B4C1A" w:rsidP="004B4C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4C1A" w:rsidRDefault="004B4C1A" w:rsidP="004B4C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432.70  License Deemed Personal</w:t>
      </w:r>
      <w:r>
        <w:t xml:space="preserve"> </w:t>
      </w:r>
    </w:p>
    <w:p w:rsidR="004B4C1A" w:rsidRDefault="004B4C1A" w:rsidP="004B4C1A">
      <w:pPr>
        <w:widowControl w:val="0"/>
        <w:autoSpaceDE w:val="0"/>
        <w:autoSpaceDN w:val="0"/>
        <w:adjustRightInd w:val="0"/>
      </w:pPr>
    </w:p>
    <w:p w:rsidR="004B4C1A" w:rsidRDefault="004B4C1A" w:rsidP="004B4C1A">
      <w:pPr>
        <w:widowControl w:val="0"/>
        <w:autoSpaceDE w:val="0"/>
        <w:autoSpaceDN w:val="0"/>
        <w:adjustRightInd w:val="0"/>
      </w:pPr>
      <w:r>
        <w:t xml:space="preserve">Licenses to operate totalizator systems are deemed personal in nature and non-transferable, and will terminate upon a substantial change of ownership of the totalizator company unless the Board grants approval of the substantial change of ownership.  The sale or transfer of 25% or more of the equity of a totalizator company shall be considered a substantial change or ownership.  In acting upon a request for approval of a substantial change in ownership, the Board shall consider the same factors as it considers in the initial grant of an occupation license to an applicant for a totalizator system license. </w:t>
      </w:r>
    </w:p>
    <w:sectPr w:rsidR="004B4C1A" w:rsidSect="004B4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C1A"/>
    <w:rsid w:val="001678D1"/>
    <w:rsid w:val="004B4C1A"/>
    <w:rsid w:val="00925881"/>
    <w:rsid w:val="00A61106"/>
    <w:rsid w:val="00F5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432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432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