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A1" w:rsidRDefault="009144A1" w:rsidP="009144A1">
      <w:pPr>
        <w:widowControl w:val="0"/>
        <w:autoSpaceDE w:val="0"/>
        <w:autoSpaceDN w:val="0"/>
        <w:adjustRightInd w:val="0"/>
      </w:pPr>
      <w:bookmarkStart w:id="0" w:name="_GoBack"/>
      <w:bookmarkEnd w:id="0"/>
    </w:p>
    <w:p w:rsidR="009144A1" w:rsidRDefault="009144A1" w:rsidP="009144A1">
      <w:pPr>
        <w:widowControl w:val="0"/>
        <w:autoSpaceDE w:val="0"/>
        <w:autoSpaceDN w:val="0"/>
        <w:adjustRightInd w:val="0"/>
      </w:pPr>
      <w:r>
        <w:rPr>
          <w:b/>
          <w:bCs/>
        </w:rPr>
        <w:t>Section 510.70  Horses under Lien</w:t>
      </w:r>
      <w:r>
        <w:t xml:space="preserve"> </w:t>
      </w:r>
    </w:p>
    <w:p w:rsidR="009144A1" w:rsidRDefault="009144A1" w:rsidP="009144A1">
      <w:pPr>
        <w:widowControl w:val="0"/>
        <w:autoSpaceDE w:val="0"/>
        <w:autoSpaceDN w:val="0"/>
        <w:adjustRightInd w:val="0"/>
      </w:pPr>
    </w:p>
    <w:p w:rsidR="009144A1" w:rsidRDefault="009144A1" w:rsidP="009144A1">
      <w:pPr>
        <w:widowControl w:val="0"/>
        <w:autoSpaceDE w:val="0"/>
        <w:autoSpaceDN w:val="0"/>
        <w:adjustRightInd w:val="0"/>
      </w:pPr>
      <w:r>
        <w:t xml:space="preserve">No person or persons shall enter, or allow to be entered, any horse against which any claim is held, either by mortgage, or lien of any kind without, prior to entering, having filed the written consent of the holder of the mortgage or lien with the racing secretary and horsemen's bookkeeper. </w:t>
      </w:r>
    </w:p>
    <w:sectPr w:rsidR="009144A1" w:rsidSect="009144A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4A1"/>
    <w:rsid w:val="00295D10"/>
    <w:rsid w:val="002C3116"/>
    <w:rsid w:val="002D729E"/>
    <w:rsid w:val="009144A1"/>
    <w:rsid w:val="00CC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Roberts, John</cp:lastModifiedBy>
  <cp:revision>3</cp:revision>
  <dcterms:created xsi:type="dcterms:W3CDTF">2012-06-21T21:12:00Z</dcterms:created>
  <dcterms:modified xsi:type="dcterms:W3CDTF">2012-06-21T21:12:00Z</dcterms:modified>
</cp:coreProperties>
</file>