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0A" w:rsidRPr="0058320A" w:rsidRDefault="00F73C0A" w:rsidP="0058320A">
      <w:bookmarkStart w:id="0" w:name="_GoBack"/>
      <w:bookmarkEnd w:id="0"/>
    </w:p>
    <w:p w:rsidR="00681933" w:rsidRPr="0058320A" w:rsidRDefault="00F73C0A" w:rsidP="0058320A">
      <w:r w:rsidRPr="0058320A">
        <w:t>SOURCE:  Published in Rules and Regulations of Harness Racing, (original date not cited in publication); codified at 5 Ill. Reg. 10919; emergency amendment at 6 Ill. Reg. 9713, effective July 27, 1982 for a maximum of 150 days; amended at 6 Ill. Reg. 13</w:t>
      </w:r>
      <w:r w:rsidR="006E6844" w:rsidRPr="0058320A">
        <w:t>789, effective October 25, 1982</w:t>
      </w:r>
      <w:r w:rsidR="00B56DA8" w:rsidRPr="0058320A">
        <w:t>;</w:t>
      </w:r>
      <w:r w:rsidRPr="0058320A">
        <w:t xml:space="preserve"> amended at 11 Ill. Reg. 2020</w:t>
      </w:r>
      <w:r w:rsidR="00681933" w:rsidRPr="0058320A">
        <w:t xml:space="preserve">7, effective December 1, 1987; amended at 33 Ill. Reg. </w:t>
      </w:r>
      <w:r w:rsidR="005C4273">
        <w:t>6704</w:t>
      </w:r>
      <w:r w:rsidR="00681933" w:rsidRPr="0058320A">
        <w:t xml:space="preserve">, effective </w:t>
      </w:r>
      <w:r w:rsidR="005C4273">
        <w:t>May 1, 2009</w:t>
      </w:r>
      <w:r w:rsidR="00681933" w:rsidRPr="0058320A">
        <w:t>.</w:t>
      </w:r>
    </w:p>
    <w:sectPr w:rsidR="00681933" w:rsidRPr="0058320A" w:rsidSect="00F73C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3C0A"/>
    <w:rsid w:val="001678D1"/>
    <w:rsid w:val="00505943"/>
    <w:rsid w:val="0058320A"/>
    <w:rsid w:val="005C4273"/>
    <w:rsid w:val="00681933"/>
    <w:rsid w:val="006E6844"/>
    <w:rsid w:val="00B56DA8"/>
    <w:rsid w:val="00CC7738"/>
    <w:rsid w:val="00EF7C49"/>
    <w:rsid w:val="00F61E11"/>
    <w:rsid w:val="00F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81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8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Harness Racing, (original date not cited in publication); codified at 5 Ill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Harness Racing, (original date not cited in publication); codified at 5 Ill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