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75" w:rsidRDefault="00867175" w:rsidP="00867175">
      <w:pPr>
        <w:widowControl w:val="0"/>
        <w:autoSpaceDE w:val="0"/>
        <w:autoSpaceDN w:val="0"/>
        <w:adjustRightInd w:val="0"/>
      </w:pPr>
      <w:bookmarkStart w:id="0" w:name="_GoBack"/>
      <w:bookmarkEnd w:id="0"/>
    </w:p>
    <w:p w:rsidR="00867175" w:rsidRDefault="00867175" w:rsidP="00867175">
      <w:pPr>
        <w:widowControl w:val="0"/>
        <w:autoSpaceDE w:val="0"/>
        <w:autoSpaceDN w:val="0"/>
        <w:adjustRightInd w:val="0"/>
      </w:pPr>
      <w:r>
        <w:rPr>
          <w:b/>
          <w:bCs/>
        </w:rPr>
        <w:t>Section 1309.140  Rejection of Declarations</w:t>
      </w:r>
      <w:r>
        <w:t xml:space="preserve"> </w:t>
      </w:r>
    </w:p>
    <w:p w:rsidR="00867175" w:rsidRDefault="00867175" w:rsidP="00867175">
      <w:pPr>
        <w:widowControl w:val="0"/>
        <w:autoSpaceDE w:val="0"/>
        <w:autoSpaceDN w:val="0"/>
        <w:adjustRightInd w:val="0"/>
      </w:pPr>
    </w:p>
    <w:p w:rsidR="00867175" w:rsidRDefault="00867175" w:rsidP="00867175">
      <w:pPr>
        <w:widowControl w:val="0"/>
        <w:autoSpaceDE w:val="0"/>
        <w:autoSpaceDN w:val="0"/>
        <w:adjustRightInd w:val="0"/>
      </w:pPr>
      <w:r>
        <w:t xml:space="preserve">The racing secretary may reject the declaration on any horse whose eligibility certificate was not in his possession on the date the condition book was published. The racing secretary may reject the declaration on any horse whose past performance indicated that he would be below the competitive level of other horses declared, provided the rejection does not result in a race being cancelled. </w:t>
      </w:r>
    </w:p>
    <w:sectPr w:rsidR="00867175" w:rsidSect="008671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175"/>
    <w:rsid w:val="001678D1"/>
    <w:rsid w:val="007C1975"/>
    <w:rsid w:val="00867175"/>
    <w:rsid w:val="009B1178"/>
    <w:rsid w:val="00D7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