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D" w:rsidRPr="004B4721" w:rsidRDefault="00FA64CD" w:rsidP="004B4721">
      <w:bookmarkStart w:id="0" w:name="_GoBack"/>
      <w:bookmarkEnd w:id="0"/>
    </w:p>
    <w:p w:rsidR="00A620C7" w:rsidRPr="004B4721" w:rsidRDefault="00FA64CD" w:rsidP="004B4721">
      <w:r w:rsidRPr="004B4721">
        <w:t xml:space="preserve">SOURCE:  Published in Rules and Regulations of Horse Racing, (original date not cited in publication); codified at 5 Ill. Reg. 10970; amended at 7 Ill. Reg. 1427, effective January 24, 1983; amended at 11 Ill. </w:t>
      </w:r>
      <w:r w:rsidR="00C72E5F" w:rsidRPr="004B4721">
        <w:t xml:space="preserve">Reg. 20209, effective December </w:t>
      </w:r>
      <w:r w:rsidRPr="004B4721">
        <w:t>1, 1987; amended at 15 Ill. Reg. 5745, effective April 4, 1991</w:t>
      </w:r>
      <w:r w:rsidR="00A620C7" w:rsidRPr="004B4721">
        <w:t xml:space="preserve">; amended at 33 Ill. Reg. </w:t>
      </w:r>
      <w:r w:rsidR="009E6074">
        <w:t>6708</w:t>
      </w:r>
      <w:r w:rsidR="00A620C7" w:rsidRPr="004B4721">
        <w:t xml:space="preserve">, effective </w:t>
      </w:r>
      <w:r w:rsidR="009E6074">
        <w:t>May 1, 2009</w:t>
      </w:r>
      <w:r w:rsidR="00A620C7" w:rsidRPr="004B4721">
        <w:t>.</w:t>
      </w:r>
    </w:p>
    <w:sectPr w:rsidR="00A620C7" w:rsidRPr="004B4721" w:rsidSect="00FA6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4CD"/>
    <w:rsid w:val="000E0C13"/>
    <w:rsid w:val="001678D1"/>
    <w:rsid w:val="00273F8E"/>
    <w:rsid w:val="004B4721"/>
    <w:rsid w:val="005E540D"/>
    <w:rsid w:val="009E6074"/>
    <w:rsid w:val="00A620C7"/>
    <w:rsid w:val="00C72E5F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62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6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codified at 5 Ill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