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B9" w:rsidRPr="003058F1" w:rsidRDefault="00B57DB9" w:rsidP="003058F1">
      <w:bookmarkStart w:id="0" w:name="_GoBack"/>
      <w:bookmarkEnd w:id="0"/>
    </w:p>
    <w:p w:rsidR="00B57DB9" w:rsidRPr="003058F1" w:rsidRDefault="00B57DB9" w:rsidP="003058F1">
      <w:r w:rsidRPr="003058F1">
        <w:t>AUTHORITY:  Authorized by Section 9(b) of the Illinois Horse Racing Act of 1975 [230 ILCS 5/9(b)].</w:t>
      </w:r>
    </w:p>
    <w:sectPr w:rsidR="00B57DB9" w:rsidRPr="003058F1" w:rsidSect="00B174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A17"/>
    <w:rsid w:val="003058F1"/>
    <w:rsid w:val="00345A79"/>
    <w:rsid w:val="00440F1C"/>
    <w:rsid w:val="00896934"/>
    <w:rsid w:val="00A44A17"/>
    <w:rsid w:val="00B1746E"/>
    <w:rsid w:val="00B57DB9"/>
    <w:rsid w:val="00EB5D7E"/>
    <w:rsid w:val="00F5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D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57DB9"/>
    <w:rPr>
      <w:rFonts w:ascii="Courier" w:hAnsi="Courie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D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57DB9"/>
    <w:rPr>
      <w:rFonts w:ascii="Courier" w:hAnsi="Courie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saboch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