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6A" w:rsidRDefault="00B4316A" w:rsidP="00B431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316A" w:rsidRDefault="00B4316A" w:rsidP="00B4316A">
      <w:pPr>
        <w:widowControl w:val="0"/>
        <w:autoSpaceDE w:val="0"/>
        <w:autoSpaceDN w:val="0"/>
        <w:adjustRightInd w:val="0"/>
      </w:pPr>
      <w:r>
        <w:t xml:space="preserve">SOURCE:  Published in Rules and Regulations of Horse Racing, (original date not cited in publication); amended January 10, 1975, filed January 16, 1975; codified at 5 Ill. Reg. 11000; Section 1425.47 recodified to 11 Ill. Adm. Code 207.40 at 9 Ill. Reg. 11652. </w:t>
      </w:r>
      <w:r>
        <w:tab/>
      </w:r>
    </w:p>
    <w:sectPr w:rsidR="00B4316A" w:rsidSect="00B431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316A"/>
    <w:rsid w:val="001678D1"/>
    <w:rsid w:val="001C17C3"/>
    <w:rsid w:val="002E058F"/>
    <w:rsid w:val="004A30B4"/>
    <w:rsid w:val="00B4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Horse Racing, (original date not cited in publication); amended January 10, 197</vt:lpstr>
    </vt:vector>
  </TitlesOfParts>
  <Company>State of Illinois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Horse Racing, (original date not cited in publication); amended January 10, 197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