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90" w:rsidRDefault="006B5790" w:rsidP="006B57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5790" w:rsidRDefault="006B5790" w:rsidP="006B57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1440.10  Rules and Regulations</w:t>
      </w:r>
      <w:r>
        <w:t xml:space="preserve"> </w:t>
      </w:r>
    </w:p>
    <w:p w:rsidR="006B5790" w:rsidRDefault="006B5790" w:rsidP="006B5790">
      <w:pPr>
        <w:widowControl w:val="0"/>
        <w:autoSpaceDE w:val="0"/>
        <w:autoSpaceDN w:val="0"/>
        <w:adjustRightInd w:val="0"/>
      </w:pPr>
    </w:p>
    <w:p w:rsidR="006B5790" w:rsidRDefault="006B5790" w:rsidP="006B5790">
      <w:pPr>
        <w:widowControl w:val="0"/>
        <w:autoSpaceDE w:val="0"/>
        <w:autoSpaceDN w:val="0"/>
        <w:adjustRightInd w:val="0"/>
      </w:pPr>
      <w:r>
        <w:t xml:space="preserve">The rules and regulations governing thoroughbred racing shall also govern quarter horse racing, except for the following additional rules. </w:t>
      </w:r>
    </w:p>
    <w:sectPr w:rsidR="006B5790" w:rsidSect="006B5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790"/>
    <w:rsid w:val="001678D1"/>
    <w:rsid w:val="006B5790"/>
    <w:rsid w:val="00836E0F"/>
    <w:rsid w:val="00BF0826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