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C772" w14:textId="77777777" w:rsidR="00BD2423" w:rsidRDefault="00BD2423" w:rsidP="00E35C03">
      <w:pPr>
        <w:widowControl w:val="0"/>
        <w:autoSpaceDE w:val="0"/>
        <w:autoSpaceDN w:val="0"/>
        <w:adjustRightInd w:val="0"/>
      </w:pPr>
    </w:p>
    <w:p w14:paraId="5B55153D" w14:textId="06FBD5D8" w:rsidR="00E35C03" w:rsidRDefault="00E35C03" w:rsidP="00E35C0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1770.20  Selection</w:t>
      </w:r>
      <w:proofErr w:type="gramEnd"/>
      <w:r>
        <w:rPr>
          <w:b/>
          <w:bCs/>
        </w:rPr>
        <w:t xml:space="preserve"> of Lottery Sales Agents; License Application and Fee</w:t>
      </w:r>
      <w:r>
        <w:t xml:space="preserve"> </w:t>
      </w:r>
    </w:p>
    <w:p w14:paraId="6A1CA12B" w14:textId="77777777" w:rsidR="00E35C03" w:rsidRDefault="00E35C03" w:rsidP="00E35C03">
      <w:pPr>
        <w:widowControl w:val="0"/>
        <w:autoSpaceDE w:val="0"/>
        <w:autoSpaceDN w:val="0"/>
        <w:adjustRightInd w:val="0"/>
      </w:pPr>
    </w:p>
    <w:p w14:paraId="675FF0EB" w14:textId="0642DF83" w:rsidR="00E35C03" w:rsidRDefault="00E35C03" w:rsidP="00E35C0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</w:t>
      </w:r>
      <w:r w:rsidR="001E43B0">
        <w:t>Director</w:t>
      </w:r>
      <w:r w:rsidR="00BE7577">
        <w:t xml:space="preserve"> </w:t>
      </w:r>
      <w:r>
        <w:t xml:space="preserve">shall license </w:t>
      </w:r>
      <w:r w:rsidR="001E43B0">
        <w:t xml:space="preserve">Agents </w:t>
      </w:r>
      <w:r>
        <w:t xml:space="preserve">as </w:t>
      </w:r>
      <w:r w:rsidR="001E43B0">
        <w:t>authorized</w:t>
      </w:r>
      <w:r>
        <w:t xml:space="preserve"> persons engaged in business activity dealing with the public</w:t>
      </w:r>
      <w:r w:rsidR="00BA2CA5">
        <w:t>,</w:t>
      </w:r>
      <w:r>
        <w:t xml:space="preserve"> provided that the sole proprietors, partners, corporate officers or principals of an applicant must be 18 years of age or older to be eligible to apply for a license.  The total number of </w:t>
      </w:r>
      <w:r w:rsidR="001E43B0">
        <w:t>Agents</w:t>
      </w:r>
      <w:r w:rsidR="00D54E8B">
        <w:t xml:space="preserve"> </w:t>
      </w:r>
      <w:r>
        <w:t xml:space="preserve">shall be sufficient to assure that </w:t>
      </w:r>
      <w:r w:rsidR="00A11398">
        <w:t>Lottery</w:t>
      </w:r>
      <w:r>
        <w:t xml:space="preserve"> products are conveniently available to the public throughout the State, consistent with the constraints of the Department's budget.  </w:t>
      </w:r>
      <w:r w:rsidR="001E43B0">
        <w:t>To obtain</w:t>
      </w:r>
      <w:r>
        <w:t xml:space="preserve"> a license</w:t>
      </w:r>
      <w:r w:rsidR="00AB6DEB">
        <w:t>,</w:t>
      </w:r>
      <w:r w:rsidR="007A1B7E">
        <w:t xml:space="preserve"> any interested person</w:t>
      </w:r>
      <w:r>
        <w:t xml:space="preserve"> must first </w:t>
      </w:r>
      <w:r w:rsidR="003042EE">
        <w:t>complete</w:t>
      </w:r>
      <w:r>
        <w:t xml:space="preserve"> application forms provided by the Department.</w:t>
      </w:r>
      <w:r w:rsidR="00D317F7">
        <w:t xml:space="preserve">  Information to be included on application forms will include, but is not limited to: type of business; tax identification numbers; retailer agreement for the sale of Lottery tickets; retailer contract for the sale of Lottery tickets; and acknowledgement of the requirement for a </w:t>
      </w:r>
      <w:proofErr w:type="gramStart"/>
      <w:r w:rsidR="00D317F7">
        <w:t>Lottery</w:t>
      </w:r>
      <w:proofErr w:type="gramEnd"/>
      <w:r w:rsidR="00D317F7">
        <w:t xml:space="preserve"> trust fund account.</w:t>
      </w:r>
      <w:r w:rsidR="00FC55E7">
        <w:t xml:space="preserve">  </w:t>
      </w:r>
      <w:r w:rsidR="001E43B0">
        <w:t>Upon receipt of the completed application, the</w:t>
      </w:r>
      <w:r>
        <w:t xml:space="preserve"> Department will have a representative meet with the applicant to discuss the responsibilities of selling </w:t>
      </w:r>
      <w:r w:rsidR="00A11398">
        <w:t>Lottery</w:t>
      </w:r>
      <w:r>
        <w:t xml:space="preserve"> products and </w:t>
      </w:r>
      <w:r w:rsidR="00BA2CA5">
        <w:t xml:space="preserve">to </w:t>
      </w:r>
      <w:r>
        <w:t xml:space="preserve">gather information concerning the applicant and </w:t>
      </w:r>
      <w:r w:rsidR="00D317F7">
        <w:t>the applicant's</w:t>
      </w:r>
      <w:r w:rsidR="00A11398">
        <w:t xml:space="preserve"> </w:t>
      </w:r>
      <w:r>
        <w:t xml:space="preserve">business establishment </w:t>
      </w:r>
      <w:r w:rsidR="0020597B">
        <w:t>considering</w:t>
      </w:r>
      <w:r>
        <w:t xml:space="preserve"> the factors listed </w:t>
      </w:r>
      <w:r w:rsidR="00BA2CA5">
        <w:t>in this subsection (a)</w:t>
      </w:r>
      <w:r>
        <w:t xml:space="preserve">.  The </w:t>
      </w:r>
      <w:r w:rsidR="001E43B0">
        <w:t>Director</w:t>
      </w:r>
      <w:r w:rsidR="00BE7577">
        <w:t xml:space="preserve"> </w:t>
      </w:r>
      <w:r>
        <w:t xml:space="preserve">shall give careful consideration to the following factors in selecting as </w:t>
      </w:r>
      <w:r w:rsidR="001E43B0">
        <w:t>Agents</w:t>
      </w:r>
      <w:r w:rsidR="00D54E8B">
        <w:t xml:space="preserve"> </w:t>
      </w:r>
      <w:r>
        <w:t xml:space="preserve">those persons </w:t>
      </w:r>
      <w:r w:rsidR="00BA2CA5">
        <w:t>that</w:t>
      </w:r>
      <w:r>
        <w:t xml:space="preserve"> one may expect to provide a high level of sales volume of </w:t>
      </w:r>
      <w:r w:rsidR="00A11398">
        <w:t>Lottery</w:t>
      </w:r>
      <w:r>
        <w:t xml:space="preserve"> products, proper security for the </w:t>
      </w:r>
      <w:r w:rsidR="00A11398">
        <w:t>Lottery</w:t>
      </w:r>
      <w:r>
        <w:t xml:space="preserve"> equipment, </w:t>
      </w:r>
      <w:r w:rsidR="00C54A4D">
        <w:t xml:space="preserve">Lottery </w:t>
      </w:r>
      <w:r w:rsidR="005C46F3">
        <w:t>g</w:t>
      </w:r>
      <w:r w:rsidR="00C54A4D">
        <w:t xml:space="preserve">ame </w:t>
      </w:r>
      <w:r>
        <w:t xml:space="preserve">tickets and money, and a good public image for the State's </w:t>
      </w:r>
      <w:r w:rsidR="00A11398">
        <w:t>Lottery</w:t>
      </w:r>
      <w:r>
        <w:t xml:space="preserve"> products</w:t>
      </w:r>
      <w:r w:rsidR="00BA2CA5">
        <w:t>:</w:t>
      </w:r>
      <w:r>
        <w:t xml:space="preserve"> </w:t>
      </w:r>
    </w:p>
    <w:p w14:paraId="66AA62B3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31996C7B" w14:textId="6CCCB321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credit worthiness and financial responsibility of the applicant as disclosed by standard credit reporting services, the records of the State</w:t>
      </w:r>
      <w:r w:rsidR="00BA2CA5">
        <w:t>,</w:t>
      </w:r>
      <w:r>
        <w:t xml:space="preserve"> and other credible information bearing upon the credit worthiness of the applicant as may be brought to the attention of the </w:t>
      </w:r>
      <w:r w:rsidR="00EE770C">
        <w:t>Director</w:t>
      </w:r>
      <w:r w:rsidR="00BA2CA5">
        <w:t>;</w:t>
      </w:r>
      <w:r>
        <w:t xml:space="preserve"> </w:t>
      </w:r>
    </w:p>
    <w:p w14:paraId="65E38366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6434BC4A" w14:textId="0400EEEE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criminal history and tax status of the applicant as disclosed in the application or in records of </w:t>
      </w:r>
      <w:r w:rsidR="00AB6DEB">
        <w:t>federal,</w:t>
      </w:r>
      <w:r>
        <w:t xml:space="preserve"> State</w:t>
      </w:r>
      <w:r w:rsidR="00EE770C">
        <w:t xml:space="preserve"> or </w:t>
      </w:r>
      <w:r w:rsidR="00AB6DEB">
        <w:t>l</w:t>
      </w:r>
      <w:r w:rsidR="00EE770C">
        <w:t>ocal governments</w:t>
      </w:r>
      <w:r w:rsidR="00BA2CA5">
        <w:t>;</w:t>
      </w:r>
      <w:r>
        <w:t xml:space="preserve"> </w:t>
      </w:r>
    </w:p>
    <w:p w14:paraId="562853B9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6420CF2D" w14:textId="77777777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physical security of the applicant's establishment in terms of the physical structure and design of the applicant's facilities as it would relate to the placement of </w:t>
      </w:r>
      <w:r w:rsidR="00A11398">
        <w:t>Lottery</w:t>
      </w:r>
      <w:r>
        <w:t xml:space="preserve"> equipment, the sale of </w:t>
      </w:r>
      <w:r w:rsidR="00A11398">
        <w:t>Lottery</w:t>
      </w:r>
      <w:r>
        <w:t xml:space="preserve"> products and the storage of </w:t>
      </w:r>
      <w:r w:rsidR="00A11398">
        <w:t>Lottery</w:t>
      </w:r>
      <w:r>
        <w:t xml:space="preserve"> receipts</w:t>
      </w:r>
      <w:r w:rsidR="00BA2CA5">
        <w:t>;</w:t>
      </w:r>
      <w:r>
        <w:t xml:space="preserve"> </w:t>
      </w:r>
    </w:p>
    <w:p w14:paraId="59B8CB8F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21662177" w14:textId="77777777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The public accessibility of</w:t>
      </w:r>
      <w:r w:rsidR="00BA2CA5">
        <w:t xml:space="preserve"> the</w:t>
      </w:r>
      <w:r>
        <w:t xml:space="preserve"> applicant's place of business or activity, including accessibility from roads, major highways, parking facilities</w:t>
      </w:r>
      <w:r w:rsidR="00BA2CA5">
        <w:t xml:space="preserve"> and</w:t>
      </w:r>
      <w:r>
        <w:t xml:space="preserve"> public transit routes, accessibility by the disabled, proximity of pedestrian traffic, hours of operation of applicant's business, and the cleanliness, attractiveness and physical security of the premises</w:t>
      </w:r>
      <w:r w:rsidR="00BA2CA5">
        <w:t>;</w:t>
      </w:r>
      <w:r>
        <w:t xml:space="preserve"> </w:t>
      </w:r>
    </w:p>
    <w:p w14:paraId="661E9703" w14:textId="77777777" w:rsidR="003C6B01" w:rsidRPr="001E66DF" w:rsidRDefault="003C6B01" w:rsidP="001E66DF"/>
    <w:p w14:paraId="3E94448D" w14:textId="68AF0576" w:rsidR="00E35C03" w:rsidRPr="001E66DF" w:rsidRDefault="00E35C03" w:rsidP="001E66DF">
      <w:pPr>
        <w:ind w:left="2160" w:hanging="720"/>
      </w:pPr>
      <w:r w:rsidRPr="001E66DF">
        <w:t>5)</w:t>
      </w:r>
      <w:r w:rsidRPr="001E66DF">
        <w:tab/>
        <w:t xml:space="preserve">The number of existing </w:t>
      </w:r>
      <w:r w:rsidR="00A11398" w:rsidRPr="001E66DF">
        <w:t>Lottery</w:t>
      </w:r>
      <w:r w:rsidRPr="001E66DF">
        <w:t xml:space="preserve"> sales licenses in the vicinity</w:t>
      </w:r>
      <w:r w:rsidR="000631D9">
        <w:t xml:space="preserve"> that are </w:t>
      </w:r>
      <w:r w:rsidR="001E66DF" w:rsidRPr="001E66DF">
        <w:t xml:space="preserve">of similar </w:t>
      </w:r>
      <w:proofErr w:type="spellStart"/>
      <w:r w:rsidR="001E66DF" w:rsidRPr="001E66DF">
        <w:t>tradestyle</w:t>
      </w:r>
      <w:proofErr w:type="spellEnd"/>
      <w:r w:rsidR="001E66DF" w:rsidRPr="001E66DF">
        <w:t xml:space="preserve"> and overall type of operation </w:t>
      </w:r>
      <w:r w:rsidR="000631D9">
        <w:t>to the extent</w:t>
      </w:r>
      <w:r w:rsidR="001E66DF" w:rsidRPr="001E66DF">
        <w:t xml:space="preserve"> that enter</w:t>
      </w:r>
      <w:r w:rsidR="000631D9">
        <w:t>ing</w:t>
      </w:r>
      <w:r w:rsidR="001E66DF" w:rsidRPr="001E66DF">
        <w:t xml:space="preserve"> into a </w:t>
      </w:r>
      <w:r w:rsidR="00520C41">
        <w:t>r</w:t>
      </w:r>
      <w:r w:rsidR="001E66DF" w:rsidRPr="001E66DF">
        <w:t xml:space="preserve">etailer </w:t>
      </w:r>
      <w:r w:rsidR="00520C41">
        <w:t>a</w:t>
      </w:r>
      <w:r w:rsidR="001E66DF" w:rsidRPr="001E66DF">
        <w:t>greement might jeopardize the</w:t>
      </w:r>
      <w:r w:rsidR="00520C41">
        <w:t xml:space="preserve"> Lottery's</w:t>
      </w:r>
      <w:r w:rsidR="0059409D">
        <w:t xml:space="preserve"> </w:t>
      </w:r>
      <w:r w:rsidR="001E66DF" w:rsidRPr="001E66DF">
        <w:t xml:space="preserve">integrity, security, honesty, or fairness of the operation and administration of the Lottery </w:t>
      </w:r>
      <w:r w:rsidR="001E66DF" w:rsidRPr="001E66DF">
        <w:lastRenderedPageBreak/>
        <w:t>games or undermine the public</w:t>
      </w:r>
      <w:r w:rsidR="001E66DF">
        <w:t>'</w:t>
      </w:r>
      <w:r w:rsidR="001E66DF" w:rsidRPr="001E66DF">
        <w:t xml:space="preserve">s confidence relevant to a positive perception of the Lottery, including but not limited to pawn shops, </w:t>
      </w:r>
      <w:r w:rsidR="00E03EEA">
        <w:t xml:space="preserve">gun shops, </w:t>
      </w:r>
      <w:r w:rsidR="00310833">
        <w:t>adult entertainment establishments (18 years or older), payday loan services, or currency</w:t>
      </w:r>
      <w:r w:rsidR="001E66DF" w:rsidRPr="001E66DF">
        <w:t xml:space="preserve"> exchanges</w:t>
      </w:r>
      <w:r w:rsidR="00BA2CA5" w:rsidRPr="001E66DF">
        <w:t>;</w:t>
      </w:r>
      <w:r w:rsidRPr="001E66DF">
        <w:t xml:space="preserve"> </w:t>
      </w:r>
    </w:p>
    <w:p w14:paraId="5916B5BB" w14:textId="77777777" w:rsidR="003C6B01" w:rsidRPr="001E66DF" w:rsidRDefault="003C6B01" w:rsidP="001E66DF"/>
    <w:p w14:paraId="57469EF9" w14:textId="74F9498E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>The nature of the applicant's business and the volume of</w:t>
      </w:r>
      <w:r w:rsidR="00E03EEA">
        <w:t xml:space="preserve"> in store</w:t>
      </w:r>
      <w:r>
        <w:t xml:space="preserve"> sales from </w:t>
      </w:r>
      <w:r w:rsidR="001E66DF">
        <w:t>the</w:t>
      </w:r>
      <w:r w:rsidR="000631D9">
        <w:t xml:space="preserve"> applicant's</w:t>
      </w:r>
      <w:r w:rsidR="00A11398">
        <w:t xml:space="preserve"> </w:t>
      </w:r>
      <w:r>
        <w:t xml:space="preserve">regular business in order to assure that the sale of </w:t>
      </w:r>
      <w:r w:rsidR="00A11398">
        <w:t>Lottery</w:t>
      </w:r>
      <w:r>
        <w:t xml:space="preserve"> products will be ancillary to the applicant's regular business</w:t>
      </w:r>
      <w:r w:rsidR="00BA2CA5">
        <w:t>;</w:t>
      </w:r>
      <w:r>
        <w:t xml:space="preserve"> </w:t>
      </w:r>
    </w:p>
    <w:p w14:paraId="4B4DA0B4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7C1B08F5" w14:textId="1A87D58F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>The level of anticipated or projected sales from the general area in which the applicant's business is located</w:t>
      </w:r>
      <w:r w:rsidR="00BA2CA5">
        <w:t>,</w:t>
      </w:r>
      <w:r>
        <w:t xml:space="preserve"> taking into consideration the demographics of the neighborhood or locality, the proximity of the location to population centers and the average sales for other comparable </w:t>
      </w:r>
      <w:r w:rsidR="001E66DF">
        <w:t xml:space="preserve">Lottery </w:t>
      </w:r>
      <w:r w:rsidR="000631D9">
        <w:t>r</w:t>
      </w:r>
      <w:r w:rsidR="001E66DF">
        <w:t>etailers</w:t>
      </w:r>
      <w:r w:rsidR="00BA2CA5">
        <w:t>;</w:t>
      </w:r>
      <w:r>
        <w:t xml:space="preserve"> </w:t>
      </w:r>
    </w:p>
    <w:p w14:paraId="34338A9A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3859097E" w14:textId="681883EC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character of the applicant and </w:t>
      </w:r>
      <w:r w:rsidR="001E66DF">
        <w:t>the</w:t>
      </w:r>
      <w:r w:rsidR="000631D9">
        <w:t xml:space="preserve"> applicant's</w:t>
      </w:r>
      <w:r>
        <w:t xml:space="preserve"> reputation for honesty and integrity in the community</w:t>
      </w:r>
      <w:r w:rsidR="00BA2CA5">
        <w:t>;</w:t>
      </w:r>
      <w:r>
        <w:t xml:space="preserve"> </w:t>
      </w:r>
    </w:p>
    <w:p w14:paraId="4ACDEE8E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594597E0" w14:textId="77777777" w:rsidR="00E35C03" w:rsidRDefault="00E35C03" w:rsidP="00E35C03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>The veracity of the information supplied in the license application</w:t>
      </w:r>
      <w:r w:rsidR="00BA2CA5">
        <w:t>;</w:t>
      </w:r>
      <w:r>
        <w:t xml:space="preserve"> </w:t>
      </w:r>
    </w:p>
    <w:p w14:paraId="5DE0417E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7F3D65CC" w14:textId="77777777" w:rsidR="00E35C03" w:rsidRDefault="00E35C03" w:rsidP="00ED7E73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>The merchandising skills and business experience of the applicant, including the tenure of applicant's business at the proposed location</w:t>
      </w:r>
      <w:r w:rsidR="00BA2CA5">
        <w:t>;</w:t>
      </w:r>
      <w:r>
        <w:t xml:space="preserve"> </w:t>
      </w:r>
    </w:p>
    <w:p w14:paraId="717739F1" w14:textId="77777777" w:rsidR="003C6B01" w:rsidRDefault="003C6B01" w:rsidP="001E66DF">
      <w:pPr>
        <w:widowControl w:val="0"/>
        <w:autoSpaceDE w:val="0"/>
        <w:autoSpaceDN w:val="0"/>
        <w:adjustRightInd w:val="0"/>
      </w:pPr>
    </w:p>
    <w:p w14:paraId="05F6D60E" w14:textId="77777777" w:rsidR="00E35C03" w:rsidRDefault="00E35C03" w:rsidP="00ED7E73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</w:r>
      <w:r w:rsidR="00BA2CA5">
        <w:t>Any</w:t>
      </w:r>
      <w:r>
        <w:t xml:space="preserve"> information relating to </w:t>
      </w:r>
      <w:r w:rsidR="00BA2CA5">
        <w:t>these</w:t>
      </w:r>
      <w:r>
        <w:t xml:space="preserve"> listed factors </w:t>
      </w:r>
      <w:r w:rsidR="00BA2CA5">
        <w:t xml:space="preserve">that the applicant provides </w:t>
      </w:r>
      <w:r>
        <w:t xml:space="preserve">to the Department's representative at the time of the site visit or at the time of submission of the application. </w:t>
      </w:r>
    </w:p>
    <w:p w14:paraId="697E822B" w14:textId="77777777" w:rsidR="003C6B01" w:rsidRPr="005261FB" w:rsidRDefault="003C6B01" w:rsidP="005261FB"/>
    <w:p w14:paraId="35549678" w14:textId="21ECB858" w:rsidR="00E35C03" w:rsidRPr="005261FB" w:rsidRDefault="00E35C03" w:rsidP="005261FB">
      <w:pPr>
        <w:ind w:left="1440" w:hanging="720"/>
      </w:pPr>
      <w:r w:rsidRPr="005261FB">
        <w:t>b)</w:t>
      </w:r>
      <w:r w:rsidRPr="005261FB">
        <w:tab/>
        <w:t xml:space="preserve">The </w:t>
      </w:r>
      <w:r w:rsidR="001E66DF" w:rsidRPr="005261FB">
        <w:t>Director</w:t>
      </w:r>
      <w:r w:rsidR="00792D6B">
        <w:t xml:space="preserve"> will</w:t>
      </w:r>
      <w:r w:rsidRPr="005261FB">
        <w:t xml:space="preserve"> make available </w:t>
      </w:r>
      <w:r w:rsidR="00D317F7">
        <w:t xml:space="preserve">application </w:t>
      </w:r>
      <w:r w:rsidRPr="005261FB">
        <w:t>forms for application for licensing</w:t>
      </w:r>
      <w:r w:rsidR="003042EE" w:rsidRPr="005261FB">
        <w:t xml:space="preserve"> as </w:t>
      </w:r>
      <w:r w:rsidR="001E66DF" w:rsidRPr="005261FB">
        <w:t>an Agent</w:t>
      </w:r>
      <w:r w:rsidRPr="005261FB">
        <w:t xml:space="preserve">.  Each license application shall be accompanied by a non-refundable </w:t>
      </w:r>
      <w:r w:rsidR="001E66DF" w:rsidRPr="005261FB">
        <w:t>$100</w:t>
      </w:r>
      <w:r w:rsidR="000631D9">
        <w:t xml:space="preserve"> application fee</w:t>
      </w:r>
      <w:r w:rsidR="001E66DF" w:rsidRPr="005261FB">
        <w:t>.</w:t>
      </w:r>
      <w:r w:rsidR="0059409D">
        <w:t xml:space="preserve"> Each application for renewal of a Lottery license shall be accompanied by a renewal fee of </w:t>
      </w:r>
      <w:r w:rsidR="00D54E8B" w:rsidRPr="005261FB">
        <w:t>$50</w:t>
      </w:r>
      <w:r w:rsidR="0059409D">
        <w:t>.</w:t>
      </w:r>
      <w:r w:rsidR="001E66DF" w:rsidRPr="005261FB">
        <w:t xml:space="preserve"> </w:t>
      </w:r>
      <w:r w:rsidR="005261FB" w:rsidRPr="005261FB">
        <w:t>The application and fee</w:t>
      </w:r>
      <w:r w:rsidR="00BA2CA5" w:rsidRPr="005261FB">
        <w:t xml:space="preserve"> shall</w:t>
      </w:r>
      <w:r w:rsidRPr="005261FB">
        <w:t xml:space="preserve"> be mailed or delivered to the </w:t>
      </w:r>
      <w:r w:rsidR="005261FB" w:rsidRPr="005261FB">
        <w:t>address provided on the license application.</w:t>
      </w:r>
      <w:r w:rsidRPr="005261FB">
        <w:t xml:space="preserve"> </w:t>
      </w:r>
    </w:p>
    <w:p w14:paraId="7EF4DFA0" w14:textId="77777777" w:rsidR="00ED7E73" w:rsidRDefault="00ED7E73" w:rsidP="005261FB">
      <w:pPr>
        <w:widowControl w:val="0"/>
        <w:autoSpaceDE w:val="0"/>
        <w:autoSpaceDN w:val="0"/>
        <w:adjustRightInd w:val="0"/>
      </w:pPr>
    </w:p>
    <w:p w14:paraId="133407BF" w14:textId="77777777" w:rsidR="00E35C03" w:rsidRDefault="00E35C03" w:rsidP="00E35C0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license fee described in subsection (b) </w:t>
      </w:r>
      <w:r w:rsidR="00BA2CA5">
        <w:t>may</w:t>
      </w:r>
      <w:r>
        <w:t xml:space="preserve"> be waived by the Department if the period of the license does not exceed 30 days</w:t>
      </w:r>
      <w:r w:rsidR="00BA2CA5">
        <w:t xml:space="preserve"> and no new background checks are required for the applicants</w:t>
      </w:r>
      <w:r>
        <w:t xml:space="preserve">. </w:t>
      </w:r>
    </w:p>
    <w:p w14:paraId="6E2CCE46" w14:textId="2CF11A4D" w:rsidR="00E35C03" w:rsidRDefault="00E35C03" w:rsidP="005952D7">
      <w:pPr>
        <w:widowControl w:val="0"/>
        <w:autoSpaceDE w:val="0"/>
        <w:autoSpaceDN w:val="0"/>
        <w:adjustRightInd w:val="0"/>
      </w:pPr>
    </w:p>
    <w:p w14:paraId="47F2477F" w14:textId="72D3B0AE" w:rsidR="005F14EF" w:rsidRDefault="00FF4436" w:rsidP="005F14EF">
      <w:pPr>
        <w:widowControl w:val="0"/>
        <w:autoSpaceDE w:val="0"/>
        <w:autoSpaceDN w:val="0"/>
        <w:adjustRightInd w:val="0"/>
        <w:ind w:left="1425" w:hanging="684"/>
      </w:pPr>
      <w:r>
        <w:t>d</w:t>
      </w:r>
      <w:r w:rsidR="005F14EF">
        <w:t>)</w:t>
      </w:r>
      <w:r w:rsidR="005F14EF">
        <w:tab/>
      </w:r>
      <w:r w:rsidR="005F14EF">
        <w:rPr>
          <w:i/>
        </w:rPr>
        <w:t xml:space="preserve">Each </w:t>
      </w:r>
      <w:r w:rsidR="00A11398">
        <w:rPr>
          <w:i/>
        </w:rPr>
        <w:t>Lottery</w:t>
      </w:r>
      <w:r w:rsidR="005F14EF" w:rsidRPr="005261FB">
        <w:t xml:space="preserve"> </w:t>
      </w:r>
      <w:r>
        <w:t>Agent</w:t>
      </w:r>
      <w:r w:rsidR="005F14EF">
        <w:rPr>
          <w:i/>
        </w:rPr>
        <w:t xml:space="preserve"> granted </w:t>
      </w:r>
      <w:r>
        <w:rPr>
          <w:i/>
        </w:rPr>
        <w:t xml:space="preserve">a </w:t>
      </w:r>
      <w:r w:rsidR="005261FB">
        <w:rPr>
          <w:i/>
        </w:rPr>
        <w:t>license</w:t>
      </w:r>
      <w:r>
        <w:rPr>
          <w:i/>
        </w:rPr>
        <w:t xml:space="preserve"> under</w:t>
      </w:r>
      <w:r w:rsidR="005F14EF">
        <w:rPr>
          <w:i/>
        </w:rPr>
        <w:t xml:space="preserve"> </w:t>
      </w:r>
      <w:r w:rsidR="00BA2CA5" w:rsidRPr="00E46850">
        <w:t>this Section</w:t>
      </w:r>
      <w:r w:rsidR="005F14EF">
        <w:rPr>
          <w:i/>
        </w:rPr>
        <w:t xml:space="preserve"> must pay a fee of </w:t>
      </w:r>
      <w:r w:rsidR="005261FB">
        <w:rPr>
          <w:i/>
        </w:rPr>
        <w:t>$12</w:t>
      </w:r>
      <w:r w:rsidR="005F14EF">
        <w:rPr>
          <w:i/>
        </w:rPr>
        <w:t xml:space="preserve"> per week as partial reimbursement for </w:t>
      </w:r>
      <w:r w:rsidR="00BA2CA5">
        <w:rPr>
          <w:i/>
        </w:rPr>
        <w:t>communications</w:t>
      </w:r>
      <w:r w:rsidR="005F14EF">
        <w:rPr>
          <w:i/>
        </w:rPr>
        <w:t xml:space="preserve"> charges incurred by the Department in providing access to</w:t>
      </w:r>
      <w:r w:rsidR="00D54E8B">
        <w:rPr>
          <w:i/>
        </w:rPr>
        <w:t xml:space="preserve"> the </w:t>
      </w:r>
      <w:r w:rsidR="00BA2CA5">
        <w:rPr>
          <w:i/>
        </w:rPr>
        <w:t>Department's central</w:t>
      </w:r>
      <w:r w:rsidR="005F14EF">
        <w:rPr>
          <w:i/>
        </w:rPr>
        <w:t xml:space="preserve"> gaming system.</w:t>
      </w:r>
      <w:r w:rsidR="00D54E8B">
        <w:rPr>
          <w:i/>
        </w:rPr>
        <w:t xml:space="preserve"> </w:t>
      </w:r>
      <w:r w:rsidR="00D54E8B">
        <w:t xml:space="preserve">[20 </w:t>
      </w:r>
      <w:proofErr w:type="spellStart"/>
      <w:r w:rsidR="00D54E8B">
        <w:t>ILCS</w:t>
      </w:r>
      <w:proofErr w:type="spellEnd"/>
      <w:r w:rsidR="00D54E8B">
        <w:t xml:space="preserve"> 1605/10.2]</w:t>
      </w:r>
    </w:p>
    <w:p w14:paraId="34ADAB7A" w14:textId="77777777" w:rsidR="00BE7577" w:rsidRDefault="00BE7577" w:rsidP="00547BC8">
      <w:pPr>
        <w:widowControl w:val="0"/>
        <w:autoSpaceDE w:val="0"/>
        <w:autoSpaceDN w:val="0"/>
        <w:adjustRightInd w:val="0"/>
      </w:pPr>
    </w:p>
    <w:p w14:paraId="05984715" w14:textId="078D532B" w:rsidR="00BA2CA5" w:rsidRPr="00D55B37" w:rsidRDefault="005261FB">
      <w:pPr>
        <w:pStyle w:val="JCARSourceNote"/>
        <w:ind w:left="720"/>
      </w:pPr>
      <w:r>
        <w:t>(Source:  Amended at 4</w:t>
      </w:r>
      <w:r w:rsidR="00E03EEA">
        <w:t>7</w:t>
      </w:r>
      <w:r>
        <w:t xml:space="preserve"> Ill. Reg. </w:t>
      </w:r>
      <w:r w:rsidR="00B358B4">
        <w:t>13924</w:t>
      </w:r>
      <w:r>
        <w:t xml:space="preserve">, effective </w:t>
      </w:r>
      <w:r w:rsidR="00B358B4">
        <w:t>September 18, 2023</w:t>
      </w:r>
      <w:r>
        <w:t>)</w:t>
      </w:r>
    </w:p>
    <w:sectPr w:rsidR="00BA2CA5" w:rsidRPr="00D55B37" w:rsidSect="00E35C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5C03"/>
    <w:rsid w:val="00030E3A"/>
    <w:rsid w:val="000631D9"/>
    <w:rsid w:val="00070A9E"/>
    <w:rsid w:val="00113099"/>
    <w:rsid w:val="00154259"/>
    <w:rsid w:val="001678D1"/>
    <w:rsid w:val="001B57FC"/>
    <w:rsid w:val="001E43B0"/>
    <w:rsid w:val="001E66DF"/>
    <w:rsid w:val="001F32B2"/>
    <w:rsid w:val="0020597B"/>
    <w:rsid w:val="002643A5"/>
    <w:rsid w:val="00274630"/>
    <w:rsid w:val="002A225A"/>
    <w:rsid w:val="002C2608"/>
    <w:rsid w:val="002D7FCB"/>
    <w:rsid w:val="003042EE"/>
    <w:rsid w:val="00310833"/>
    <w:rsid w:val="003176AD"/>
    <w:rsid w:val="003C6B01"/>
    <w:rsid w:val="004D2FD8"/>
    <w:rsid w:val="00520C41"/>
    <w:rsid w:val="005261FB"/>
    <w:rsid w:val="00547BC8"/>
    <w:rsid w:val="0059409D"/>
    <w:rsid w:val="005952D7"/>
    <w:rsid w:val="005C46F3"/>
    <w:rsid w:val="005F14EF"/>
    <w:rsid w:val="00626F55"/>
    <w:rsid w:val="00674A6F"/>
    <w:rsid w:val="006D3579"/>
    <w:rsid w:val="00792D6B"/>
    <w:rsid w:val="007A1B7E"/>
    <w:rsid w:val="00800242"/>
    <w:rsid w:val="00871F81"/>
    <w:rsid w:val="008775BF"/>
    <w:rsid w:val="008E4A66"/>
    <w:rsid w:val="00906C09"/>
    <w:rsid w:val="00A11398"/>
    <w:rsid w:val="00A12123"/>
    <w:rsid w:val="00A81689"/>
    <w:rsid w:val="00AB6DEB"/>
    <w:rsid w:val="00B358B4"/>
    <w:rsid w:val="00B8620D"/>
    <w:rsid w:val="00BA2CA5"/>
    <w:rsid w:val="00BD2423"/>
    <w:rsid w:val="00BE7577"/>
    <w:rsid w:val="00C24C00"/>
    <w:rsid w:val="00C54A4D"/>
    <w:rsid w:val="00C90644"/>
    <w:rsid w:val="00D317F7"/>
    <w:rsid w:val="00D54E8B"/>
    <w:rsid w:val="00E03EEA"/>
    <w:rsid w:val="00E35C03"/>
    <w:rsid w:val="00E46850"/>
    <w:rsid w:val="00ED7E73"/>
    <w:rsid w:val="00EE770C"/>
    <w:rsid w:val="00FC55E7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CA86E"/>
  <w15:docId w15:val="{98A3679D-37BF-4455-8693-39F9F12D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14EF"/>
  </w:style>
  <w:style w:type="character" w:styleId="CommentReference">
    <w:name w:val="annotation reference"/>
    <w:basedOn w:val="DefaultParagraphFont"/>
    <w:semiHidden/>
    <w:unhideWhenUsed/>
    <w:rsid w:val="00030E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0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0E3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0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0E3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030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1770</vt:lpstr>
    </vt:vector>
  </TitlesOfParts>
  <Company>State of Illinois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1770</dc:title>
  <dc:subject/>
  <dc:creator>Illinois General Assembly</dc:creator>
  <cp:keywords/>
  <dc:description/>
  <cp:lastModifiedBy>Shipley, Melissa A.</cp:lastModifiedBy>
  <cp:revision>5</cp:revision>
  <dcterms:created xsi:type="dcterms:W3CDTF">2023-08-23T19:49:00Z</dcterms:created>
  <dcterms:modified xsi:type="dcterms:W3CDTF">2023-09-29T00:23:00Z</dcterms:modified>
</cp:coreProperties>
</file>