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E4" w:rsidRDefault="00D24BE4" w:rsidP="00D07E7C">
      <w:pPr>
        <w:rPr>
          <w:b/>
        </w:rPr>
      </w:pPr>
      <w:bookmarkStart w:id="0" w:name="_GoBack"/>
      <w:bookmarkEnd w:id="0"/>
    </w:p>
    <w:p w:rsidR="00D07E7C" w:rsidRPr="00D07E7C" w:rsidRDefault="00D07E7C" w:rsidP="00D07E7C">
      <w:pPr>
        <w:rPr>
          <w:b/>
        </w:rPr>
      </w:pPr>
      <w:r w:rsidRPr="00D07E7C">
        <w:rPr>
          <w:b/>
        </w:rPr>
        <w:t>Section 1800.760  Evidence</w:t>
      </w:r>
    </w:p>
    <w:p w:rsidR="00D07E7C" w:rsidRPr="00D07E7C" w:rsidRDefault="00D07E7C" w:rsidP="00D07E7C"/>
    <w:p w:rsidR="00D07E7C" w:rsidRPr="00D07E7C" w:rsidRDefault="00D07E7C" w:rsidP="00D07E7C">
      <w:pPr>
        <w:ind w:left="1440" w:hanging="720"/>
      </w:pPr>
      <w:r w:rsidRPr="00D07E7C">
        <w:t>a)</w:t>
      </w:r>
      <w:r w:rsidRPr="00D07E7C">
        <w:tab/>
        <w:t xml:space="preserve">The hearing need not be conducted according to the technical rules of evidence.  Any relevant evidence may be admitted and shall be sufficient in itself to support a finding if it is the sort of evidence on which responsible persons are accustomed to rely in the conduct of serious affairs, regardless of the existence of any common law or </w:t>
      </w:r>
      <w:r w:rsidR="00176C24">
        <w:t>statute</w:t>
      </w:r>
      <w:r w:rsidRPr="00D07E7C">
        <w:t xml:space="preserve"> </w:t>
      </w:r>
      <w:r w:rsidR="009572EE">
        <w:t>that</w:t>
      </w:r>
      <w:r w:rsidRPr="00D07E7C">
        <w:t xml:space="preserve"> might make improper the admission of evidence over objection in a civil action.  Hearsay may support a finding of the Administrative Law Judge if it is the best evidence available, has sufficient indicia of trustworthiness and reliability and is of the type reasonably and customarily relied on in the gaming industry.</w:t>
      </w:r>
    </w:p>
    <w:p w:rsidR="00D07E7C" w:rsidRPr="00D07E7C" w:rsidRDefault="00D07E7C" w:rsidP="00D07E7C"/>
    <w:p w:rsidR="00D07E7C" w:rsidRPr="00D07E7C" w:rsidRDefault="00D07E7C" w:rsidP="00D07E7C">
      <w:pPr>
        <w:ind w:left="2160" w:hanging="720"/>
      </w:pPr>
      <w:r w:rsidRPr="00D07E7C">
        <w:t>1)</w:t>
      </w:r>
      <w:r w:rsidRPr="00D07E7C">
        <w:tab/>
        <w:t xml:space="preserve">If relevant, and not precluded from the hearing by Section 6(d) of the Riverboat Gambling Act relating to all licensed applicants, the official Illinois Gaming Board records or certified copies </w:t>
      </w:r>
      <w:r w:rsidR="009572EE">
        <w:t>of the records</w:t>
      </w:r>
      <w:r w:rsidRPr="00D07E7C">
        <w:t xml:space="preserve"> shall be admissible into evidence if </w:t>
      </w:r>
      <w:r w:rsidR="009572EE">
        <w:t>the</w:t>
      </w:r>
      <w:r w:rsidRPr="00D07E7C">
        <w:t xml:space="preserve"> records tend to prove or disprove an allegation contained in the complaint;</w:t>
      </w:r>
    </w:p>
    <w:p w:rsidR="00D07E7C" w:rsidRPr="00D07E7C" w:rsidRDefault="00D07E7C" w:rsidP="00D07E7C"/>
    <w:p w:rsidR="00D07E7C" w:rsidRPr="00D07E7C" w:rsidRDefault="00D07E7C" w:rsidP="00D07E7C">
      <w:pPr>
        <w:ind w:left="2160" w:hanging="720"/>
      </w:pPr>
      <w:r w:rsidRPr="00D07E7C">
        <w:t>2)</w:t>
      </w:r>
      <w:r w:rsidRPr="00D07E7C">
        <w:tab/>
        <w:t>Official Illinois Gaming Board records are documents either prepared by or provided to the Board for the purpose of conducting its regular business.</w:t>
      </w:r>
    </w:p>
    <w:p w:rsidR="00D07E7C" w:rsidRPr="00D07E7C" w:rsidRDefault="00D07E7C" w:rsidP="00D07E7C">
      <w:pPr>
        <w:ind w:left="2160" w:hanging="720"/>
      </w:pPr>
    </w:p>
    <w:p w:rsidR="00D07E7C" w:rsidRPr="00D07E7C" w:rsidRDefault="00D07E7C" w:rsidP="00D07E7C">
      <w:pPr>
        <w:ind w:left="1440" w:hanging="720"/>
      </w:pPr>
      <w:r w:rsidRPr="00D07E7C">
        <w:t>b)</w:t>
      </w:r>
      <w:r w:rsidRPr="00D07E7C">
        <w:tab/>
        <w:t xml:space="preserve">The parties should, to the fullest extent possible, stipulate to all matters </w:t>
      </w:r>
      <w:r w:rsidR="009572EE">
        <w:t>that</w:t>
      </w:r>
      <w:r w:rsidRPr="00D07E7C">
        <w:t xml:space="preserve"> are not or fairly should not be in dispute.</w:t>
      </w:r>
    </w:p>
    <w:p w:rsidR="00D07E7C" w:rsidRPr="00D07E7C" w:rsidRDefault="00D07E7C" w:rsidP="00D07E7C"/>
    <w:p w:rsidR="00D07E7C" w:rsidRPr="00D07E7C" w:rsidRDefault="00D07E7C" w:rsidP="00D07E7C">
      <w:pPr>
        <w:ind w:left="1440" w:hanging="720"/>
      </w:pPr>
      <w:r w:rsidRPr="00D07E7C">
        <w:t>c)</w:t>
      </w:r>
      <w:r w:rsidRPr="00D07E7C">
        <w:tab/>
        <w:t>The parties may make objections to evidentiary offers.  When an objection is made, the Administrative Law Judge may receive the disputed evidence subject to a ruling at a later time.</w:t>
      </w:r>
    </w:p>
    <w:p w:rsidR="00D07E7C" w:rsidRPr="00D07E7C" w:rsidRDefault="00D07E7C" w:rsidP="00D07E7C"/>
    <w:p w:rsidR="00D07E7C" w:rsidRPr="00D07E7C" w:rsidRDefault="00D07E7C" w:rsidP="00D07E7C">
      <w:pPr>
        <w:ind w:left="1440" w:hanging="720"/>
      </w:pPr>
      <w:r w:rsidRPr="00D07E7C">
        <w:t>d)</w:t>
      </w:r>
      <w:r w:rsidRPr="00D07E7C">
        <w:tab/>
        <w:t xml:space="preserve">The Administrative Law Judge may take official notice of any generally accepted information or technical or scientific matter within the field of video gaming, and any other fact </w:t>
      </w:r>
      <w:r w:rsidR="009572EE">
        <w:t>that</w:t>
      </w:r>
      <w:r w:rsidRPr="00D07E7C">
        <w:t xml:space="preserve"> may be judicially noticed by courts of this State.  The parties shall be informed of any information, matter or facts so noticed, including any staff memoranda or data, and shall be given reasonable opportunity to refute </w:t>
      </w:r>
      <w:r w:rsidR="009572EE">
        <w:t>that</w:t>
      </w:r>
      <w:r w:rsidRPr="00D07E7C">
        <w:t xml:space="preserve"> information.</w:t>
      </w:r>
    </w:p>
    <w:sectPr w:rsidR="00D07E7C" w:rsidRPr="00D07E7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CB" w:rsidRDefault="006715CB">
      <w:r>
        <w:separator/>
      </w:r>
    </w:p>
  </w:endnote>
  <w:endnote w:type="continuationSeparator" w:id="0">
    <w:p w:rsidR="006715CB" w:rsidRDefault="0067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CB" w:rsidRDefault="006715CB">
      <w:r>
        <w:separator/>
      </w:r>
    </w:p>
  </w:footnote>
  <w:footnote w:type="continuationSeparator" w:id="0">
    <w:p w:rsidR="006715CB" w:rsidRDefault="00671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7E7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C24"/>
    <w:rsid w:val="001803F3"/>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AC7"/>
    <w:rsid w:val="003547CB"/>
    <w:rsid w:val="00356003"/>
    <w:rsid w:val="00367A2E"/>
    <w:rsid w:val="00374367"/>
    <w:rsid w:val="00374639"/>
    <w:rsid w:val="00375C58"/>
    <w:rsid w:val="003760AD"/>
    <w:rsid w:val="00383A68"/>
    <w:rsid w:val="00385640"/>
    <w:rsid w:val="0039357E"/>
    <w:rsid w:val="00393652"/>
    <w:rsid w:val="00394002"/>
    <w:rsid w:val="0039695D"/>
    <w:rsid w:val="003A4AD8"/>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573B"/>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0EB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15CB"/>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72EE"/>
    <w:rsid w:val="009602D3"/>
    <w:rsid w:val="00960C37"/>
    <w:rsid w:val="00961E38"/>
    <w:rsid w:val="0096345C"/>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906"/>
    <w:rsid w:val="00D03A79"/>
    <w:rsid w:val="00D0676C"/>
    <w:rsid w:val="00D07E7C"/>
    <w:rsid w:val="00D10D50"/>
    <w:rsid w:val="00D17DC3"/>
    <w:rsid w:val="00D2155A"/>
    <w:rsid w:val="00D24BE4"/>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427650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