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DC" w:rsidRDefault="000E61DC" w:rsidP="00945A0A">
      <w:pPr>
        <w:rPr>
          <w:b/>
        </w:rPr>
      </w:pPr>
      <w:bookmarkStart w:id="0" w:name="_GoBack"/>
      <w:bookmarkEnd w:id="0"/>
    </w:p>
    <w:p w:rsidR="00945A0A" w:rsidRPr="00945A0A" w:rsidRDefault="00945A0A" w:rsidP="00945A0A">
      <w:pPr>
        <w:rPr>
          <w:b/>
        </w:rPr>
      </w:pPr>
      <w:r w:rsidRPr="00945A0A">
        <w:rPr>
          <w:b/>
        </w:rPr>
        <w:t>Section 1800.770  Prohibition on Ex Parte Communication</w:t>
      </w:r>
    </w:p>
    <w:p w:rsidR="00945A0A" w:rsidRPr="00945A0A" w:rsidRDefault="00945A0A" w:rsidP="00945A0A"/>
    <w:p w:rsidR="00945A0A" w:rsidRPr="00945A0A" w:rsidRDefault="00945A0A" w:rsidP="00945A0A">
      <w:r w:rsidRPr="00945A0A">
        <w:t>No party or its representative shall communicate directly or indirectly with the Administrative Law Judge or a member of the Illinois Gaming Board regarding any pending disciplinary matter, except upon notice to and opportunity for all parties to participate.</w:t>
      </w:r>
    </w:p>
    <w:sectPr w:rsidR="00945A0A" w:rsidRPr="00945A0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9B" w:rsidRDefault="00C77A9B">
      <w:r>
        <w:separator/>
      </w:r>
    </w:p>
  </w:endnote>
  <w:endnote w:type="continuationSeparator" w:id="0">
    <w:p w:rsidR="00C77A9B" w:rsidRDefault="00C7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9B" w:rsidRDefault="00C77A9B">
      <w:r>
        <w:separator/>
      </w:r>
    </w:p>
  </w:footnote>
  <w:footnote w:type="continuationSeparator" w:id="0">
    <w:p w:rsidR="00C77A9B" w:rsidRDefault="00C77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A0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1DC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2B09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735C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058F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5A0A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603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7A9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09E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