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FE" w:rsidRDefault="00742DFE" w:rsidP="00742D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DFE" w:rsidRDefault="00742DFE" w:rsidP="00742D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130.1103  Institution of a Contested Case by the Securities Department</w:t>
      </w:r>
      <w:r>
        <w:t xml:space="preserve"> </w:t>
      </w:r>
    </w:p>
    <w:p w:rsidR="00742DFE" w:rsidRDefault="00742DFE" w:rsidP="00742DFE">
      <w:pPr>
        <w:widowControl w:val="0"/>
        <w:autoSpaceDE w:val="0"/>
        <w:autoSpaceDN w:val="0"/>
        <w:adjustRightInd w:val="0"/>
      </w:pPr>
    </w:p>
    <w:p w:rsidR="00742DFE" w:rsidRDefault="00742DFE" w:rsidP="00742DFE">
      <w:pPr>
        <w:widowControl w:val="0"/>
        <w:autoSpaceDE w:val="0"/>
        <w:autoSpaceDN w:val="0"/>
        <w:adjustRightInd w:val="0"/>
      </w:pPr>
      <w:r>
        <w:t xml:space="preserve">A contested case is instituted by the Securities Department when a Notice of Hearing is mailed to a respondent at the respondent's last known address by registered or certified mail, return receipt requested, or personal service is obtained upon a respondent. </w:t>
      </w:r>
    </w:p>
    <w:p w:rsidR="00742DFE" w:rsidRDefault="00742DFE" w:rsidP="00742DFE">
      <w:pPr>
        <w:widowControl w:val="0"/>
        <w:autoSpaceDE w:val="0"/>
        <w:autoSpaceDN w:val="0"/>
        <w:adjustRightInd w:val="0"/>
      </w:pPr>
    </w:p>
    <w:p w:rsidR="00742DFE" w:rsidRDefault="00742DFE" w:rsidP="00742D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5188, effective March 26, 1990) </w:t>
      </w:r>
    </w:p>
    <w:sectPr w:rsidR="00742DFE" w:rsidSect="00742D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DFE"/>
    <w:rsid w:val="000A1B8F"/>
    <w:rsid w:val="001678D1"/>
    <w:rsid w:val="00742DFE"/>
    <w:rsid w:val="00D67AF0"/>
    <w:rsid w:val="00E5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