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0E" w:rsidRDefault="000B5F0E" w:rsidP="002259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5F0E" w:rsidRDefault="000B5F0E" w:rsidP="0022594F">
      <w:pPr>
        <w:widowControl w:val="0"/>
        <w:autoSpaceDE w:val="0"/>
        <w:autoSpaceDN w:val="0"/>
        <w:adjustRightInd w:val="0"/>
      </w:pPr>
      <w:r>
        <w:t xml:space="preserve">AUTHORITY:  Implementing and authorized by the Limited Liability Company Act [805 ILCS 180]. </w:t>
      </w:r>
    </w:p>
    <w:sectPr w:rsidR="000B5F0E" w:rsidSect="0022594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F0E"/>
    <w:rsid w:val="000B5F0E"/>
    <w:rsid w:val="0022594F"/>
    <w:rsid w:val="0084375C"/>
    <w:rsid w:val="00B6527D"/>
    <w:rsid w:val="00B7519D"/>
    <w:rsid w:val="00C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Limited Liability Company Act [805 ILCS 180]</vt:lpstr>
    </vt:vector>
  </TitlesOfParts>
  <Company>General Assembly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Limited Liability Company Act [805 ILCS 180]</dc:title>
  <dc:subject/>
  <dc:creator>SchnappMA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