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4B" w:rsidRDefault="00DA704B" w:rsidP="00DA70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704B" w:rsidRDefault="00DA704B" w:rsidP="00DA70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200.116  Franchise Broker</w:t>
      </w:r>
      <w:r>
        <w:t xml:space="preserve"> </w:t>
      </w:r>
    </w:p>
    <w:p w:rsidR="00DA704B" w:rsidRDefault="00DA704B" w:rsidP="00DA704B">
      <w:pPr>
        <w:widowControl w:val="0"/>
        <w:autoSpaceDE w:val="0"/>
        <w:autoSpaceDN w:val="0"/>
        <w:adjustRightInd w:val="0"/>
      </w:pPr>
    </w:p>
    <w:p w:rsidR="00DA704B" w:rsidRDefault="00DA704B" w:rsidP="00DA704B">
      <w:pPr>
        <w:widowControl w:val="0"/>
        <w:autoSpaceDE w:val="0"/>
        <w:autoSpaceDN w:val="0"/>
        <w:adjustRightInd w:val="0"/>
      </w:pPr>
      <w:r>
        <w:t xml:space="preserve">A person shall be deemed to be a franchise broker engaged in the business of representing a franchisor in offering for sale or selling a franchise within the meaning of Section 3(21) of the Act, unless otherwise exempt, if such person provides a prospective franchisee with information  about specific franchises other than the franchisor's name, address and phone number.  The expectation or acceptance of a fee contingent upon a franchise sale shall be considered as evidence of franchise broker status unless such fee results from an isolated transaction as defined in Section 200.202. </w:t>
      </w:r>
    </w:p>
    <w:p w:rsidR="00DA704B" w:rsidRDefault="00DA704B" w:rsidP="00DA704B">
      <w:pPr>
        <w:widowControl w:val="0"/>
        <w:autoSpaceDE w:val="0"/>
        <w:autoSpaceDN w:val="0"/>
        <w:adjustRightInd w:val="0"/>
      </w:pPr>
    </w:p>
    <w:p w:rsidR="00DA704B" w:rsidRDefault="00DA704B" w:rsidP="00DA70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11561, effective September 7, 1999) </w:t>
      </w:r>
    </w:p>
    <w:sectPr w:rsidR="00DA704B" w:rsidSect="00DA70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704B"/>
    <w:rsid w:val="001678D1"/>
    <w:rsid w:val="00195F01"/>
    <w:rsid w:val="00D12C0E"/>
    <w:rsid w:val="00DA704B"/>
    <w:rsid w:val="00E5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