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C3" w:rsidRDefault="00AC7BC3" w:rsidP="00AC7B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BC3" w:rsidRDefault="00AC7BC3" w:rsidP="00AC7BC3">
      <w:pPr>
        <w:widowControl w:val="0"/>
        <w:autoSpaceDE w:val="0"/>
        <w:autoSpaceDN w:val="0"/>
        <w:adjustRightInd w:val="0"/>
        <w:jc w:val="center"/>
      </w:pPr>
      <w:r>
        <w:t>SUBPART G:  AREA FRANCHISE AND SUBFRANCHISE REGISTRATION REQUIREMENTS – RESPONSIBILITIES FOR FILING</w:t>
      </w:r>
    </w:p>
    <w:sectPr w:rsidR="00AC7BC3" w:rsidSect="00AC7BC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BC3"/>
    <w:rsid w:val="0026180A"/>
    <w:rsid w:val="00660F59"/>
    <w:rsid w:val="00A3572B"/>
    <w:rsid w:val="00AB6AB0"/>
    <w:rsid w:val="00A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AREA FRANCHISE AND SUBFRANCHISE REGISTRATION REQUIREMENTS – RESPONSIBILITIES FOR FILING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AREA FRANCHISE AND SUBFRANCHISE REGISTRATION REQUIREMENTS – RESPONSIBILITIES FOR FILING</dc:title>
  <dc:subject/>
  <dc:creator>ThomasVD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