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67" w:rsidRDefault="005C7E67" w:rsidP="00EC6F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7E67" w:rsidRDefault="005C7E67" w:rsidP="00EC6F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400.90  Public Records</w:t>
      </w:r>
      <w:r>
        <w:t xml:space="preserve"> </w:t>
      </w:r>
    </w:p>
    <w:p w:rsidR="005C7E67" w:rsidRDefault="005C7E67" w:rsidP="00EC6FB2">
      <w:pPr>
        <w:widowControl w:val="0"/>
        <w:autoSpaceDE w:val="0"/>
        <w:autoSpaceDN w:val="0"/>
        <w:adjustRightInd w:val="0"/>
      </w:pPr>
    </w:p>
    <w:p w:rsidR="005C7E67" w:rsidRDefault="005C7E67" w:rsidP="00EC6FB2">
      <w:pPr>
        <w:widowControl w:val="0"/>
        <w:autoSpaceDE w:val="0"/>
        <w:autoSpaceDN w:val="0"/>
        <w:adjustRightInd w:val="0"/>
      </w:pPr>
      <w:r>
        <w:t xml:space="preserve">All registrations and reports filed with the Attorney General under the Act are public records and may be inspected in the office of the Attorney General during ordinary business hours. </w:t>
      </w:r>
    </w:p>
    <w:p w:rsidR="005C7E67" w:rsidRDefault="005C7E67" w:rsidP="00EC6FB2">
      <w:pPr>
        <w:widowControl w:val="0"/>
        <w:autoSpaceDE w:val="0"/>
        <w:autoSpaceDN w:val="0"/>
        <w:adjustRightInd w:val="0"/>
      </w:pPr>
    </w:p>
    <w:p w:rsidR="005C7E67" w:rsidRDefault="005C7E67" w:rsidP="00EC6FB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14684, effective September 21, 2000) </w:t>
      </w:r>
    </w:p>
    <w:sectPr w:rsidR="005C7E67" w:rsidSect="00EC6F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7E67"/>
    <w:rsid w:val="000F16F4"/>
    <w:rsid w:val="001678D1"/>
    <w:rsid w:val="0027761B"/>
    <w:rsid w:val="005C7E67"/>
    <w:rsid w:val="00AA25FA"/>
    <w:rsid w:val="00DD6E2E"/>
    <w:rsid w:val="00EC6FB2"/>
    <w:rsid w:val="00F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