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BA" w:rsidRDefault="002F4FBA" w:rsidP="002F4F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FBA" w:rsidRDefault="002F4FBA" w:rsidP="002F4FBA">
      <w:pPr>
        <w:widowControl w:val="0"/>
        <w:autoSpaceDE w:val="0"/>
        <w:autoSpaceDN w:val="0"/>
        <w:adjustRightInd w:val="0"/>
      </w:pPr>
      <w:r>
        <w:t xml:space="preserve">AUTHORITY:  Implementing and authorized by the Charitable Trust Act [760 ILCS 55]. </w:t>
      </w:r>
    </w:p>
    <w:sectPr w:rsidR="002F4FBA" w:rsidSect="002F4F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FBA"/>
    <w:rsid w:val="002F4FBA"/>
    <w:rsid w:val="005C3366"/>
    <w:rsid w:val="00D0082F"/>
    <w:rsid w:val="00E25649"/>
    <w:rsid w:val="00F3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Charitable Trust Act [760 ILCS 55]</vt:lpstr>
    </vt:vector>
  </TitlesOfParts>
  <Company>State of Illinois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Charitable Trust Act [760 ILCS 55]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