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78" w:rsidRDefault="000A2278" w:rsidP="00CB7E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2278" w:rsidRDefault="000A2278" w:rsidP="00CB7EF5">
      <w:pPr>
        <w:widowControl w:val="0"/>
        <w:autoSpaceDE w:val="0"/>
        <w:autoSpaceDN w:val="0"/>
        <w:adjustRightInd w:val="0"/>
        <w:jc w:val="center"/>
      </w:pPr>
      <w:r>
        <w:t xml:space="preserve">SUBPART F:  </w:t>
      </w:r>
      <w:r w:rsidR="00CB7EF5" w:rsidRPr="00CB7EF5">
        <w:t xml:space="preserve">HIGH IMPACT BUSINESSES IN ILLINOIS </w:t>
      </w:r>
    </w:p>
    <w:sectPr w:rsidR="000A2278" w:rsidSect="00CB7E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278"/>
    <w:rsid w:val="000A2278"/>
    <w:rsid w:val="001A2F51"/>
    <w:rsid w:val="002C02AF"/>
    <w:rsid w:val="00441797"/>
    <w:rsid w:val="00756522"/>
    <w:rsid w:val="00C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HIGH IMPACT BUSINESSES IN ILLINOIS TAX INCENTIVES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HIGH IMPACT BUSINESSES IN ILLINOIS TAX INCENTIVES</dc:title>
  <dc:subject/>
  <dc:creator>MessingerRR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