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E3" w:rsidRDefault="00422BE3" w:rsidP="00E666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672" w:rsidRPr="00E66672" w:rsidRDefault="00E66672" w:rsidP="00E66672">
      <w:pPr>
        <w:widowControl w:val="0"/>
        <w:autoSpaceDE w:val="0"/>
        <w:autoSpaceDN w:val="0"/>
        <w:adjustRightInd w:val="0"/>
      </w:pPr>
      <w:r w:rsidRPr="00E66672">
        <w:t>AUTHORITY:  Implemented and authorized by Section 10-6 of the River Edge Redevelopment Zone Act [65 ILCS 115/10-6].</w:t>
      </w:r>
    </w:p>
    <w:sectPr w:rsidR="00E66672" w:rsidRPr="00E6667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4D" w:rsidRDefault="0057024D">
      <w:r>
        <w:separator/>
      </w:r>
    </w:p>
  </w:endnote>
  <w:endnote w:type="continuationSeparator" w:id="0">
    <w:p w:rsidR="0057024D" w:rsidRDefault="005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4D" w:rsidRDefault="0057024D">
      <w:r>
        <w:separator/>
      </w:r>
    </w:p>
  </w:footnote>
  <w:footnote w:type="continuationSeparator" w:id="0">
    <w:p w:rsidR="0057024D" w:rsidRDefault="0057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67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5E6C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BE3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24D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0D2F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015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6672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