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1CFA5" w14:textId="77777777" w:rsidR="00C40463" w:rsidRDefault="00C40463" w:rsidP="00600F14">
      <w:pPr>
        <w:widowControl w:val="0"/>
      </w:pPr>
    </w:p>
    <w:p w14:paraId="1C57D35F" w14:textId="151C38BC" w:rsidR="00600F14" w:rsidRPr="00600F14" w:rsidRDefault="00600F14" w:rsidP="00600F14">
      <w:pPr>
        <w:widowControl w:val="0"/>
      </w:pPr>
      <w:r w:rsidRPr="00600F14">
        <w:t xml:space="preserve">AUTHORITY:  Implementing Section </w:t>
      </w:r>
      <w:r w:rsidR="00BB5222">
        <w:t>4-20</w:t>
      </w:r>
      <w:r w:rsidRPr="00600F14">
        <w:t xml:space="preserve"> of the Broadband Infrastructure Advancement Act </w:t>
      </w:r>
      <w:r w:rsidR="007E0156">
        <w:t>[220 ILCS 81]</w:t>
      </w:r>
      <w:r w:rsidRPr="00600F14">
        <w:t>, and Section 605-20 of Department of Commerce and Economic Opportunity Law [20 ILCS 605].</w:t>
      </w:r>
    </w:p>
    <w:sectPr w:rsidR="00600F14" w:rsidRPr="00600F1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0E34" w14:textId="77777777" w:rsidR="00600F14" w:rsidRDefault="00600F14">
      <w:r>
        <w:separator/>
      </w:r>
    </w:p>
  </w:endnote>
  <w:endnote w:type="continuationSeparator" w:id="0">
    <w:p w14:paraId="7BB1D676" w14:textId="77777777" w:rsidR="00600F14" w:rsidRDefault="0060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A299" w14:textId="77777777" w:rsidR="00600F14" w:rsidRDefault="00600F14">
      <w:r>
        <w:separator/>
      </w:r>
    </w:p>
  </w:footnote>
  <w:footnote w:type="continuationSeparator" w:id="0">
    <w:p w14:paraId="581CFFA5" w14:textId="77777777" w:rsidR="00600F14" w:rsidRDefault="00600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1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0F14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0156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0A5B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5222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046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E6EE9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AC200A"/>
  <w15:chartTrackingRefBased/>
  <w15:docId w15:val="{6811F48A-4FD3-464B-B774-3EC8FEBE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164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6</cp:revision>
  <dcterms:created xsi:type="dcterms:W3CDTF">2022-05-24T19:31:00Z</dcterms:created>
  <dcterms:modified xsi:type="dcterms:W3CDTF">2024-03-01T17:31:00Z</dcterms:modified>
</cp:coreProperties>
</file>