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0D7" w:rsidRDefault="007140D7" w:rsidP="007140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40D7" w:rsidRDefault="007140D7" w:rsidP="007140D7">
      <w:pPr>
        <w:widowControl w:val="0"/>
        <w:autoSpaceDE w:val="0"/>
        <w:autoSpaceDN w:val="0"/>
        <w:adjustRightInd w:val="0"/>
      </w:pPr>
      <w:r>
        <w:t xml:space="preserve">SOURCE:  Emergency rules adopted at 9 Ill. Reg. 14357, effective September 6, 1985, for a maximum of 150 days; adopted at 10 Ill. Reg. 3252, effective January 28, 1986; amended at 10 Ill. Reg. 19386, effective October 31, 1986; amended at 13 Ill. Reg. 2028, effective February 6, 1989; amended at 14 Ill. Reg. 19154, effective November 26, 1990. </w:t>
      </w:r>
      <w:r>
        <w:tab/>
      </w:r>
    </w:p>
    <w:sectPr w:rsidR="007140D7" w:rsidSect="007140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40D7"/>
    <w:rsid w:val="005C3366"/>
    <w:rsid w:val="0064384A"/>
    <w:rsid w:val="007140D7"/>
    <w:rsid w:val="00790CB8"/>
    <w:rsid w:val="00DA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9 Ill</vt:lpstr>
    </vt:vector>
  </TitlesOfParts>
  <Company>State of Illinois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9 Ill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