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B8" w:rsidRDefault="00A647B8" w:rsidP="00A64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7B8" w:rsidRDefault="00A647B8" w:rsidP="00A647B8">
      <w:pPr>
        <w:widowControl w:val="0"/>
        <w:autoSpaceDE w:val="0"/>
        <w:autoSpaceDN w:val="0"/>
        <w:adjustRightInd w:val="0"/>
        <w:jc w:val="center"/>
      </w:pPr>
      <w:r>
        <w:t>SUBPART A:  BUSINESS DEVELOPMENT PUBLIC INFRASTRUCTURE</w:t>
      </w:r>
    </w:p>
    <w:p w:rsidR="00A647B8" w:rsidRDefault="00A647B8" w:rsidP="00A647B8">
      <w:pPr>
        <w:widowControl w:val="0"/>
        <w:autoSpaceDE w:val="0"/>
        <w:autoSpaceDN w:val="0"/>
        <w:adjustRightInd w:val="0"/>
        <w:jc w:val="center"/>
      </w:pPr>
      <w:r>
        <w:t>LOAN AND GRANT PROGRAM</w:t>
      </w:r>
    </w:p>
    <w:sectPr w:rsidR="00A647B8" w:rsidSect="00A64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7B8"/>
    <w:rsid w:val="00227D70"/>
    <w:rsid w:val="005C3366"/>
    <w:rsid w:val="0098766A"/>
    <w:rsid w:val="00A647B8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BUSINESS DEVELOPMENT PUBLIC INFRASTRUCTURE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BUSINESS DEVELOPMENT PUBLIC INFRASTRUCTURE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