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4A7" w:rsidRPr="001C24A7" w:rsidRDefault="001C24A7" w:rsidP="001C24A7"/>
    <w:p w:rsidR="001C24A7" w:rsidRPr="001C24A7" w:rsidRDefault="001C24A7" w:rsidP="001C24A7">
      <w:pPr>
        <w:rPr>
          <w:b/>
        </w:rPr>
      </w:pPr>
      <w:r w:rsidRPr="001C24A7">
        <w:rPr>
          <w:b/>
        </w:rPr>
        <w:t>Section 69</w:t>
      </w:r>
      <w:r w:rsidR="00B828C9">
        <w:rPr>
          <w:b/>
        </w:rPr>
        <w:t>0</w:t>
      </w:r>
      <w:r w:rsidRPr="001C24A7">
        <w:rPr>
          <w:b/>
        </w:rPr>
        <w:t>.160  Eligible Expenses</w:t>
      </w:r>
    </w:p>
    <w:p w:rsidR="001C24A7" w:rsidRPr="001C24A7" w:rsidRDefault="001C24A7" w:rsidP="001C24A7"/>
    <w:p w:rsidR="001C24A7" w:rsidRDefault="001C24A7" w:rsidP="001C24A7">
      <w:pPr>
        <w:ind w:left="1440" w:hanging="720"/>
      </w:pPr>
      <w:r>
        <w:t>a)</w:t>
      </w:r>
      <w:r>
        <w:tab/>
      </w:r>
      <w:r w:rsidRPr="001C24A7">
        <w:t xml:space="preserve">Grant awards may be used to cover any operational cost that is not otherwise covered by a grant or refundable loan from any source (e.g., Paycheck Protection Program, Economic Disaster Injury Loan, other disaster relief, Head Start or Early Head Start, Early Childhood Block Grant, philanthropic grants) and is eligible for reimbursement through the CRF. </w:t>
      </w:r>
    </w:p>
    <w:p w:rsidR="00EC4EA1" w:rsidRDefault="00EC4EA1" w:rsidP="00BA4ED9"/>
    <w:p w:rsidR="00EC4EA1" w:rsidRPr="001C24A7" w:rsidRDefault="00EC4EA1" w:rsidP="001C24A7">
      <w:pPr>
        <w:ind w:left="1440" w:hanging="720"/>
      </w:pPr>
      <w:r>
        <w:t>b)</w:t>
      </w:r>
      <w:r>
        <w:tab/>
        <w:t>After the conclusion of the second round, any grant funds still available may be utilized to fund additional rounds.  The selection method may vary based on location and population served to maximize the equitable distribution of financial assistance among disproportionately impacted areas and other affected areas.</w:t>
      </w:r>
    </w:p>
    <w:p w:rsidR="001C24A7" w:rsidRPr="001C24A7" w:rsidRDefault="001C24A7" w:rsidP="00BA4ED9">
      <w:bookmarkStart w:id="0" w:name="_GoBack"/>
      <w:bookmarkEnd w:id="0"/>
    </w:p>
    <w:p w:rsidR="001C24A7" w:rsidRPr="001C24A7" w:rsidRDefault="00EC4EA1" w:rsidP="001C24A7">
      <w:pPr>
        <w:ind w:left="1440" w:hanging="720"/>
      </w:pPr>
      <w:r>
        <w:t>c</w:t>
      </w:r>
      <w:r w:rsidR="001C24A7">
        <w:t>)</w:t>
      </w:r>
      <w:r w:rsidR="001C24A7">
        <w:tab/>
      </w:r>
      <w:r w:rsidR="001C24A7" w:rsidRPr="001C24A7">
        <w:t>Examples of eligible operational costs include, but are not limited to, staff wages and benefits, occupancy costs, materials and supplies, and professional services.</w:t>
      </w:r>
    </w:p>
    <w:sectPr w:rsidR="001C24A7" w:rsidRPr="001C24A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90" w:rsidRDefault="00805A90">
      <w:r>
        <w:separator/>
      </w:r>
    </w:p>
  </w:endnote>
  <w:endnote w:type="continuationSeparator" w:id="0">
    <w:p w:rsidR="00805A90" w:rsidRDefault="0080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90" w:rsidRDefault="00805A90">
      <w:r>
        <w:separator/>
      </w:r>
    </w:p>
  </w:footnote>
  <w:footnote w:type="continuationSeparator" w:id="0">
    <w:p w:rsidR="00805A90" w:rsidRDefault="00805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5632D"/>
    <w:multiLevelType w:val="hybridMultilevel"/>
    <w:tmpl w:val="D60C11F6"/>
    <w:lvl w:ilvl="0" w:tplc="695E91A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9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24A7"/>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A90"/>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28C9"/>
    <w:rsid w:val="00B839A1"/>
    <w:rsid w:val="00B83B6B"/>
    <w:rsid w:val="00B8444F"/>
    <w:rsid w:val="00B86B5A"/>
    <w:rsid w:val="00BA2E0F"/>
    <w:rsid w:val="00BA4ED9"/>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608B"/>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4EA1"/>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D8AC80-64B2-4210-8FBC-DFEC2C72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4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131</Words>
  <Characters>756</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6</cp:revision>
  <dcterms:created xsi:type="dcterms:W3CDTF">2020-07-20T15:50:00Z</dcterms:created>
  <dcterms:modified xsi:type="dcterms:W3CDTF">2021-01-04T19:53:00Z</dcterms:modified>
</cp:coreProperties>
</file>