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06" w:rsidRDefault="00C04606" w:rsidP="00C04606">
      <w:pPr>
        <w:pStyle w:val="JCARSourceNote"/>
        <w:rPr>
          <w:b/>
        </w:rPr>
      </w:pPr>
    </w:p>
    <w:p w:rsidR="00C04606" w:rsidRPr="00FE7972" w:rsidRDefault="00C04606" w:rsidP="00C04606">
      <w:pPr>
        <w:pStyle w:val="JCARSourceNote"/>
        <w:rPr>
          <w:b/>
        </w:rPr>
      </w:pPr>
      <w:r w:rsidRPr="00FE7972">
        <w:rPr>
          <w:b/>
        </w:rPr>
        <w:t>Section 2530.610  Reinstatement Fees</w:t>
      </w:r>
    </w:p>
    <w:p w:rsidR="00C04606" w:rsidRDefault="00C04606" w:rsidP="00C04606">
      <w:pPr>
        <w:pStyle w:val="JCARSourceNote"/>
      </w:pPr>
    </w:p>
    <w:p w:rsidR="00C04606" w:rsidRDefault="00C04606" w:rsidP="0023369E">
      <w:pPr>
        <w:pStyle w:val="JCARSourceNote"/>
        <w:ind w:firstLine="720"/>
      </w:pPr>
      <w:bookmarkStart w:id="0" w:name="_GoBack"/>
      <w:bookmarkEnd w:id="0"/>
      <w:r>
        <w:t>a)</w:t>
      </w:r>
      <w:r>
        <w:tab/>
        <w:t>The following fees shall be applied to proceedings under this Part:</w:t>
      </w:r>
    </w:p>
    <w:p w:rsidR="00C04606" w:rsidRDefault="00C04606" w:rsidP="00C04606">
      <w:pPr>
        <w:pStyle w:val="JCARSourceNote"/>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169"/>
        <w:gridCol w:w="2254"/>
      </w:tblGrid>
      <w:tr w:rsidR="00C04606" w:rsidTr="000A1143">
        <w:tc>
          <w:tcPr>
            <w:tcW w:w="3573" w:type="dxa"/>
            <w:vAlign w:val="center"/>
          </w:tcPr>
          <w:p w:rsidR="00C04606" w:rsidRPr="008656D5" w:rsidRDefault="00C04606" w:rsidP="000A1143">
            <w:pPr>
              <w:pStyle w:val="JCARSourceNote"/>
              <w:jc w:val="center"/>
              <w:rPr>
                <w:u w:val="single"/>
              </w:rPr>
            </w:pPr>
            <w:r w:rsidRPr="00BF3F08">
              <w:rPr>
                <w:u w:val="single"/>
              </w:rPr>
              <w:t>Type of Suspension</w:t>
            </w:r>
          </w:p>
        </w:tc>
        <w:tc>
          <w:tcPr>
            <w:tcW w:w="2169" w:type="dxa"/>
            <w:vAlign w:val="center"/>
          </w:tcPr>
          <w:p w:rsidR="00C04606" w:rsidRDefault="00C04606" w:rsidP="000A1143">
            <w:pPr>
              <w:pStyle w:val="JCARSourceNote"/>
              <w:jc w:val="center"/>
            </w:pPr>
            <w:r>
              <w:t>First Suspension</w:t>
            </w:r>
          </w:p>
        </w:tc>
        <w:tc>
          <w:tcPr>
            <w:tcW w:w="2254" w:type="dxa"/>
            <w:vAlign w:val="center"/>
          </w:tcPr>
          <w:p w:rsidR="00C04606" w:rsidRDefault="00C04606" w:rsidP="000A1143">
            <w:pPr>
              <w:pStyle w:val="JCARSourceNote"/>
              <w:jc w:val="center"/>
            </w:pPr>
            <w:r>
              <w:t>Subsequent Suspensions</w:t>
            </w:r>
          </w:p>
        </w:tc>
      </w:tr>
      <w:tr w:rsidR="00C04606" w:rsidTr="00DC6BB6">
        <w:tc>
          <w:tcPr>
            <w:tcW w:w="3573" w:type="dxa"/>
          </w:tcPr>
          <w:p w:rsidR="00C04606" w:rsidRDefault="003219D9" w:rsidP="003219D9">
            <w:pPr>
              <w:pStyle w:val="JCARSourceNote"/>
            </w:pPr>
            <w:r>
              <w:t xml:space="preserve">Notice of </w:t>
            </w:r>
            <w:r w:rsidR="00C04606">
              <w:t xml:space="preserve">Eviction from </w:t>
            </w:r>
            <w:r>
              <w:t>Department lands</w:t>
            </w:r>
            <w:r w:rsidR="00C04606">
              <w:t xml:space="preserve"> (except 90 </w:t>
            </w:r>
            <w:r w:rsidR="008A18B8">
              <w:t>d</w:t>
            </w:r>
            <w:r w:rsidR="00C04606">
              <w:t>ay Notice of Eviction suspension)</w:t>
            </w:r>
          </w:p>
        </w:tc>
        <w:tc>
          <w:tcPr>
            <w:tcW w:w="2169" w:type="dxa"/>
            <w:vAlign w:val="center"/>
          </w:tcPr>
          <w:p w:rsidR="00C04606" w:rsidRDefault="00C04606" w:rsidP="00DC6BB6">
            <w:pPr>
              <w:pStyle w:val="JCARSourceNote"/>
              <w:ind w:right="774"/>
              <w:jc w:val="right"/>
            </w:pPr>
            <w:r>
              <w:t>$50</w:t>
            </w:r>
          </w:p>
        </w:tc>
        <w:tc>
          <w:tcPr>
            <w:tcW w:w="2254" w:type="dxa"/>
            <w:vAlign w:val="center"/>
          </w:tcPr>
          <w:p w:rsidR="00C04606" w:rsidRDefault="00C04606" w:rsidP="00DC6BB6">
            <w:pPr>
              <w:pStyle w:val="JCARSourceNote"/>
              <w:ind w:right="742"/>
              <w:jc w:val="right"/>
            </w:pPr>
            <w:r>
              <w:t>$100</w:t>
            </w:r>
          </w:p>
        </w:tc>
      </w:tr>
      <w:tr w:rsidR="00C04606" w:rsidTr="00DC6BB6">
        <w:tc>
          <w:tcPr>
            <w:tcW w:w="3573" w:type="dxa"/>
          </w:tcPr>
          <w:p w:rsidR="00C04606" w:rsidRDefault="00C04606" w:rsidP="006F5850">
            <w:pPr>
              <w:pStyle w:val="JCARSourceNote"/>
            </w:pPr>
            <w:r>
              <w:t>Administrative (Officer request,</w:t>
            </w:r>
            <w:r w:rsidR="008A18B8">
              <w:t xml:space="preserve"> </w:t>
            </w:r>
            <w:r>
              <w:t>etc.)</w:t>
            </w:r>
          </w:p>
        </w:tc>
        <w:tc>
          <w:tcPr>
            <w:tcW w:w="2169" w:type="dxa"/>
            <w:vAlign w:val="center"/>
          </w:tcPr>
          <w:p w:rsidR="00C04606" w:rsidRDefault="00C04606" w:rsidP="00DC6BB6">
            <w:pPr>
              <w:pStyle w:val="JCARSourceNote"/>
              <w:ind w:right="774"/>
              <w:jc w:val="right"/>
            </w:pPr>
            <w:r>
              <w:t>$50</w:t>
            </w:r>
          </w:p>
        </w:tc>
        <w:tc>
          <w:tcPr>
            <w:tcW w:w="2254" w:type="dxa"/>
            <w:vAlign w:val="center"/>
          </w:tcPr>
          <w:p w:rsidR="00C04606" w:rsidRDefault="00C04606" w:rsidP="00DC6BB6">
            <w:pPr>
              <w:pStyle w:val="JCARSourceNote"/>
              <w:ind w:right="742"/>
              <w:jc w:val="right"/>
            </w:pPr>
            <w:r>
              <w:t>$100</w:t>
            </w:r>
          </w:p>
        </w:tc>
      </w:tr>
      <w:tr w:rsidR="00C04606" w:rsidTr="00DC6BB6">
        <w:tc>
          <w:tcPr>
            <w:tcW w:w="3573" w:type="dxa"/>
          </w:tcPr>
          <w:p w:rsidR="00C04606" w:rsidRDefault="00C04606" w:rsidP="006F5850">
            <w:pPr>
              <w:pStyle w:val="JCARSourceNote"/>
            </w:pPr>
            <w:r>
              <w:t>Non-Compliance (Interstate Wildlife Violator Compact)</w:t>
            </w:r>
          </w:p>
        </w:tc>
        <w:tc>
          <w:tcPr>
            <w:tcW w:w="2169" w:type="dxa"/>
            <w:vAlign w:val="center"/>
          </w:tcPr>
          <w:p w:rsidR="00C04606" w:rsidRDefault="00C04606" w:rsidP="00DC6BB6">
            <w:pPr>
              <w:pStyle w:val="JCARSourceNote"/>
              <w:ind w:right="774"/>
              <w:jc w:val="right"/>
            </w:pPr>
            <w:r>
              <w:t>$50</w:t>
            </w:r>
          </w:p>
        </w:tc>
        <w:tc>
          <w:tcPr>
            <w:tcW w:w="2254" w:type="dxa"/>
            <w:vAlign w:val="center"/>
          </w:tcPr>
          <w:p w:rsidR="00C04606" w:rsidRDefault="00C04606" w:rsidP="00DC6BB6">
            <w:pPr>
              <w:pStyle w:val="JCARSourceNote"/>
              <w:ind w:right="742"/>
              <w:jc w:val="right"/>
            </w:pPr>
            <w:r>
              <w:t>$100</w:t>
            </w:r>
          </w:p>
        </w:tc>
      </w:tr>
      <w:tr w:rsidR="00C04606" w:rsidTr="00DC6BB6">
        <w:tc>
          <w:tcPr>
            <w:tcW w:w="3573" w:type="dxa"/>
          </w:tcPr>
          <w:p w:rsidR="00C04606" w:rsidRDefault="00C04606" w:rsidP="006F5850">
            <w:pPr>
              <w:pStyle w:val="JCARSourceNote"/>
            </w:pPr>
            <w:r>
              <w:t>Non-Commercial Point Suspension</w:t>
            </w:r>
          </w:p>
        </w:tc>
        <w:tc>
          <w:tcPr>
            <w:tcW w:w="2169" w:type="dxa"/>
            <w:vAlign w:val="center"/>
          </w:tcPr>
          <w:p w:rsidR="00C04606" w:rsidRDefault="00C04606" w:rsidP="00DC6BB6">
            <w:pPr>
              <w:pStyle w:val="JCARSourceNote"/>
              <w:ind w:right="774"/>
              <w:jc w:val="right"/>
            </w:pPr>
            <w:r>
              <w:t>$50</w:t>
            </w:r>
          </w:p>
        </w:tc>
        <w:tc>
          <w:tcPr>
            <w:tcW w:w="2254" w:type="dxa"/>
            <w:vAlign w:val="center"/>
          </w:tcPr>
          <w:p w:rsidR="00C04606" w:rsidRDefault="00C04606" w:rsidP="00DC6BB6">
            <w:pPr>
              <w:pStyle w:val="JCARSourceNote"/>
              <w:ind w:right="742"/>
              <w:jc w:val="right"/>
            </w:pPr>
            <w:r>
              <w:t>$100</w:t>
            </w:r>
          </w:p>
        </w:tc>
      </w:tr>
      <w:tr w:rsidR="00C04606" w:rsidTr="00DC6BB6">
        <w:tc>
          <w:tcPr>
            <w:tcW w:w="3573" w:type="dxa"/>
          </w:tcPr>
          <w:p w:rsidR="00C04606" w:rsidRDefault="00C04606" w:rsidP="006F5850">
            <w:pPr>
              <w:pStyle w:val="JCARSourceNote"/>
            </w:pPr>
            <w:r>
              <w:t>Commercial Point Suspension</w:t>
            </w:r>
          </w:p>
        </w:tc>
        <w:tc>
          <w:tcPr>
            <w:tcW w:w="2169" w:type="dxa"/>
            <w:vAlign w:val="center"/>
          </w:tcPr>
          <w:p w:rsidR="00C04606" w:rsidRDefault="00C04606" w:rsidP="00DC6BB6">
            <w:pPr>
              <w:pStyle w:val="JCARSourceNote"/>
              <w:ind w:right="774"/>
              <w:jc w:val="right"/>
            </w:pPr>
            <w:r>
              <w:t>$100</w:t>
            </w:r>
          </w:p>
        </w:tc>
        <w:tc>
          <w:tcPr>
            <w:tcW w:w="2254" w:type="dxa"/>
            <w:vAlign w:val="center"/>
          </w:tcPr>
          <w:p w:rsidR="00C04606" w:rsidRDefault="00C04606" w:rsidP="00DC6BB6">
            <w:pPr>
              <w:pStyle w:val="JCARSourceNote"/>
              <w:ind w:right="742"/>
              <w:jc w:val="right"/>
            </w:pPr>
            <w:r>
              <w:t>$200</w:t>
            </w:r>
          </w:p>
        </w:tc>
      </w:tr>
      <w:tr w:rsidR="00C04606" w:rsidTr="00DC6BB6">
        <w:tc>
          <w:tcPr>
            <w:tcW w:w="3573" w:type="dxa"/>
          </w:tcPr>
          <w:p w:rsidR="00C04606" w:rsidRDefault="00C04606" w:rsidP="006F5850">
            <w:pPr>
              <w:pStyle w:val="JCARSourceNote"/>
            </w:pPr>
            <w:r>
              <w:t>Reckless Operation of Snowmobile or Watercraft/ Failure to Yield to an Emergency Watercraft/Failure to Report a Watercraft Accident</w:t>
            </w:r>
          </w:p>
        </w:tc>
        <w:tc>
          <w:tcPr>
            <w:tcW w:w="2169" w:type="dxa"/>
            <w:vAlign w:val="center"/>
          </w:tcPr>
          <w:p w:rsidR="00C04606" w:rsidRDefault="00C04606" w:rsidP="00DC6BB6">
            <w:pPr>
              <w:pStyle w:val="JCARSourceNote"/>
              <w:ind w:right="774"/>
              <w:jc w:val="right"/>
            </w:pPr>
            <w:r>
              <w:t>$100</w:t>
            </w:r>
          </w:p>
        </w:tc>
        <w:tc>
          <w:tcPr>
            <w:tcW w:w="2254" w:type="dxa"/>
            <w:vAlign w:val="center"/>
          </w:tcPr>
          <w:p w:rsidR="00C04606" w:rsidRDefault="00C04606" w:rsidP="00DC6BB6">
            <w:pPr>
              <w:pStyle w:val="JCARSourceNote"/>
              <w:ind w:right="742"/>
              <w:jc w:val="right"/>
            </w:pPr>
            <w:r>
              <w:t>$200</w:t>
            </w:r>
          </w:p>
        </w:tc>
      </w:tr>
      <w:tr w:rsidR="00C04606" w:rsidTr="00DC6BB6">
        <w:tc>
          <w:tcPr>
            <w:tcW w:w="3573" w:type="dxa"/>
          </w:tcPr>
          <w:p w:rsidR="00C04606" w:rsidRDefault="00C04606" w:rsidP="006F5850">
            <w:pPr>
              <w:pStyle w:val="JCARSourceNote"/>
            </w:pPr>
            <w:r>
              <w:t>Watercraft/Snowmobile OUI and Refusal</w:t>
            </w:r>
          </w:p>
        </w:tc>
        <w:tc>
          <w:tcPr>
            <w:tcW w:w="2169" w:type="dxa"/>
            <w:vAlign w:val="center"/>
          </w:tcPr>
          <w:p w:rsidR="00C04606" w:rsidRDefault="00C04606" w:rsidP="00DC6BB6">
            <w:pPr>
              <w:pStyle w:val="JCARSourceNote"/>
              <w:ind w:right="774"/>
              <w:jc w:val="right"/>
            </w:pPr>
            <w:r>
              <w:t>$250</w:t>
            </w:r>
          </w:p>
        </w:tc>
        <w:tc>
          <w:tcPr>
            <w:tcW w:w="2254" w:type="dxa"/>
            <w:vAlign w:val="center"/>
          </w:tcPr>
          <w:p w:rsidR="00C04606" w:rsidRDefault="00C04606" w:rsidP="00DC6BB6">
            <w:pPr>
              <w:pStyle w:val="JCARSourceNote"/>
              <w:ind w:right="742"/>
              <w:jc w:val="right"/>
            </w:pPr>
            <w:r>
              <w:t>$500</w:t>
            </w:r>
          </w:p>
        </w:tc>
      </w:tr>
    </w:tbl>
    <w:p w:rsidR="00C04606" w:rsidRDefault="00C04606" w:rsidP="00C04606"/>
    <w:p w:rsidR="00C04606" w:rsidRDefault="00C04606" w:rsidP="00C35F64">
      <w:pPr>
        <w:ind w:left="1440" w:hanging="720"/>
      </w:pPr>
      <w:r>
        <w:t>b)</w:t>
      </w:r>
      <w:r>
        <w:tab/>
        <w:t>Reinstatement fees shall be made by cashier's check, bank check or money order and submitted to:</w:t>
      </w:r>
    </w:p>
    <w:p w:rsidR="00C04606" w:rsidRDefault="00C04606" w:rsidP="00C35F64"/>
    <w:p w:rsidR="00C04606" w:rsidRDefault="00C04606" w:rsidP="00C35F64">
      <w:pPr>
        <w:ind w:left="2880"/>
      </w:pPr>
      <w:r>
        <w:t>IDNR Office of Law Enforcement</w:t>
      </w:r>
    </w:p>
    <w:p w:rsidR="00C04606" w:rsidRDefault="00C04606" w:rsidP="00DC6BB6">
      <w:pPr>
        <w:ind w:left="2880"/>
      </w:pPr>
      <w:r>
        <w:t>One Natural Resources Way</w:t>
      </w:r>
    </w:p>
    <w:p w:rsidR="00C04606" w:rsidRDefault="00C04606" w:rsidP="00DC6BB6">
      <w:pPr>
        <w:ind w:left="2880"/>
      </w:pPr>
      <w:r>
        <w:t>Springfield IL  62702</w:t>
      </w:r>
    </w:p>
    <w:p w:rsidR="00C04606" w:rsidRDefault="00C04606" w:rsidP="00C04606"/>
    <w:p w:rsidR="00C04606" w:rsidRPr="00D55B37" w:rsidRDefault="00C04606" w:rsidP="00C04606">
      <w:pPr>
        <w:ind w:left="1440" w:hanging="720"/>
      </w:pPr>
      <w:r>
        <w:t>c)</w:t>
      </w:r>
      <w:r>
        <w:tab/>
        <w:t>All suspensions of privileges remain in effect until the appropriate reinstatement fee is received and processed by the Office of Law Enforcement.  The Office of Law Enforcement has 15 business days after receipt of payment to process the reinstatement fee.</w:t>
      </w:r>
    </w:p>
    <w:p w:rsidR="00C04606" w:rsidRDefault="00C04606" w:rsidP="00C04606"/>
    <w:p w:rsidR="000174EB" w:rsidRPr="00093935" w:rsidRDefault="00C04606" w:rsidP="00C04606">
      <w:pPr>
        <w:ind w:firstLine="720"/>
      </w:pPr>
      <w:r w:rsidRPr="00D55B37">
        <w:t xml:space="preserve">(Source:  Added at </w:t>
      </w:r>
      <w:r>
        <w:t>38</w:t>
      </w:r>
      <w:r w:rsidRPr="00D55B37">
        <w:t xml:space="preserve"> Ill. Reg. </w:t>
      </w:r>
      <w:r w:rsidR="0093551E">
        <w:t>17001</w:t>
      </w:r>
      <w:r w:rsidRPr="00D55B37">
        <w:t xml:space="preserve">, effective </w:t>
      </w:r>
      <w:r w:rsidR="0093551E">
        <w:t>July 25, 2014</w:t>
      </w:r>
      <w:r w:rsidRPr="00D55B37">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03A" w:rsidRDefault="0026603A">
      <w:r>
        <w:separator/>
      </w:r>
    </w:p>
  </w:endnote>
  <w:endnote w:type="continuationSeparator" w:id="0">
    <w:p w:rsidR="0026603A" w:rsidRDefault="0026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03A" w:rsidRDefault="0026603A">
      <w:r>
        <w:separator/>
      </w:r>
    </w:p>
  </w:footnote>
  <w:footnote w:type="continuationSeparator" w:id="0">
    <w:p w:rsidR="0026603A" w:rsidRDefault="00266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14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69E"/>
    <w:rsid w:val="00235BC5"/>
    <w:rsid w:val="002375DD"/>
    <w:rsid w:val="00246C8D"/>
    <w:rsid w:val="002524EC"/>
    <w:rsid w:val="0026224A"/>
    <w:rsid w:val="00264AD1"/>
    <w:rsid w:val="0026603A"/>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9D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6B8"/>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8B8"/>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51E"/>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606"/>
    <w:rsid w:val="00C0597E"/>
    <w:rsid w:val="00C05E6D"/>
    <w:rsid w:val="00C06151"/>
    <w:rsid w:val="00C06DF4"/>
    <w:rsid w:val="00C1038A"/>
    <w:rsid w:val="00C11BB7"/>
    <w:rsid w:val="00C153C4"/>
    <w:rsid w:val="00C15FD6"/>
    <w:rsid w:val="00C17F24"/>
    <w:rsid w:val="00C2596B"/>
    <w:rsid w:val="00C319B3"/>
    <w:rsid w:val="00C35F64"/>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BB6"/>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E366C-6D3D-468B-BC46-B6AD0FDA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994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2014-07-15T14:43:00Z</dcterms:created>
  <dcterms:modified xsi:type="dcterms:W3CDTF">2014-08-04T18:47:00Z</dcterms:modified>
</cp:coreProperties>
</file>