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E2" w:rsidRDefault="00A542E2" w:rsidP="00A54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2E2" w:rsidRDefault="00A542E2" w:rsidP="00A542E2">
      <w:pPr>
        <w:widowControl w:val="0"/>
        <w:autoSpaceDE w:val="0"/>
        <w:autoSpaceDN w:val="0"/>
        <w:adjustRightInd w:val="0"/>
      </w:pPr>
      <w:r>
        <w:t xml:space="preserve">AUTHORITY:  Implementing and authorized by Sections 1 through 5 of the Displaced Person Relocation Act [310 ILCS 40/1-5], Section 3 of the State Forest Act [525 ILCS 40/3], Section 2 of the State Parks Act [20 ILCS 835/2], Section 1.9 of the Wildlife Code [520 ILCS 5/1.9] and Section 7.05 of the Illinois Natural Areas Preservation Act [525 ILCS 30/7.05]. </w:t>
      </w:r>
    </w:p>
    <w:sectPr w:rsidR="00A542E2" w:rsidSect="00A54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2E2"/>
    <w:rsid w:val="005C048E"/>
    <w:rsid w:val="005C3366"/>
    <w:rsid w:val="0085427D"/>
    <w:rsid w:val="009411F3"/>
    <w:rsid w:val="00A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 through 5 of the Displaced Person Relocation Act [310 ILCS 40/1-5], Sect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 through 5 of the Displaced Person Relocation Act [310 ILCS 40/1-5], Sect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