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4B" w:rsidRDefault="00F9444B" w:rsidP="00F944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44B" w:rsidRDefault="00F9444B" w:rsidP="00F944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3020.30  Funding Assistance Formula</w:t>
      </w:r>
      <w:r>
        <w:t xml:space="preserve"> </w:t>
      </w:r>
    </w:p>
    <w:p w:rsidR="00F9444B" w:rsidRDefault="00F9444B" w:rsidP="00F9444B">
      <w:pPr>
        <w:widowControl w:val="0"/>
        <w:autoSpaceDE w:val="0"/>
        <w:autoSpaceDN w:val="0"/>
        <w:adjustRightInd w:val="0"/>
      </w:pPr>
    </w:p>
    <w:p w:rsidR="00F9444B" w:rsidRDefault="00F9444B" w:rsidP="00F9444B">
      <w:pPr>
        <w:widowControl w:val="0"/>
        <w:autoSpaceDE w:val="0"/>
        <w:autoSpaceDN w:val="0"/>
        <w:adjustRightInd w:val="0"/>
      </w:pPr>
      <w:r>
        <w:t xml:space="preserve">The STEF grant program shall operate on a 100% reimbursement basis of total eligible project costs. </w:t>
      </w:r>
    </w:p>
    <w:p w:rsidR="00F9444B" w:rsidRDefault="00F9444B" w:rsidP="00F9444B">
      <w:pPr>
        <w:widowControl w:val="0"/>
        <w:autoSpaceDE w:val="0"/>
        <w:autoSpaceDN w:val="0"/>
        <w:adjustRightInd w:val="0"/>
      </w:pPr>
    </w:p>
    <w:p w:rsidR="00F9444B" w:rsidRDefault="00F9444B" w:rsidP="00F944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9085, effective June 26, 1997) </w:t>
      </w:r>
    </w:p>
    <w:sectPr w:rsidR="00F9444B" w:rsidSect="00F94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44B"/>
    <w:rsid w:val="00254052"/>
    <w:rsid w:val="00572D32"/>
    <w:rsid w:val="005C3366"/>
    <w:rsid w:val="008136C2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