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29" w:rsidRDefault="00002129" w:rsidP="00002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129" w:rsidRDefault="00002129" w:rsidP="00002129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A05AF5">
        <w:t>805-325</w:t>
      </w:r>
      <w:r>
        <w:t xml:space="preserve"> of the Civil Administrative Code [20 ILCS 805/</w:t>
      </w:r>
      <w:r w:rsidR="00A05AF5">
        <w:t>805-325</w:t>
      </w:r>
      <w:r>
        <w:t>] and Section 10-1</w:t>
      </w:r>
      <w:r w:rsidR="000C39E2">
        <w:t xml:space="preserve"> of</w:t>
      </w:r>
      <w:r>
        <w:t xml:space="preserve"> the Boat Registration and Safety Act [625 ILCS 45/10-1]. </w:t>
      </w:r>
    </w:p>
    <w:sectPr w:rsidR="00002129" w:rsidSect="00002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129"/>
    <w:rsid w:val="00002129"/>
    <w:rsid w:val="000C39E2"/>
    <w:rsid w:val="004A6AEC"/>
    <w:rsid w:val="005C3366"/>
    <w:rsid w:val="00A05AF5"/>
    <w:rsid w:val="00AF2F66"/>
    <w:rsid w:val="00E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63a25 of the Civil Administrative Code [20 ILCS 805/63a25] and Section 10-1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63a25 of the Civil Administrative Code [20 ILCS 805/63a25] and Section 10-1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