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1E" w:rsidRDefault="0006481E" w:rsidP="0006481E">
      <w:pPr>
        <w:widowControl w:val="0"/>
        <w:autoSpaceDE w:val="0"/>
        <w:autoSpaceDN w:val="0"/>
        <w:adjustRightInd w:val="0"/>
      </w:pPr>
      <w:bookmarkStart w:id="0" w:name="_GoBack"/>
      <w:bookmarkEnd w:id="0"/>
    </w:p>
    <w:p w:rsidR="0006481E" w:rsidRDefault="0006481E" w:rsidP="0006481E">
      <w:pPr>
        <w:widowControl w:val="0"/>
        <w:autoSpaceDE w:val="0"/>
        <w:autoSpaceDN w:val="0"/>
        <w:adjustRightInd w:val="0"/>
      </w:pPr>
      <w:r>
        <w:rPr>
          <w:b/>
          <w:bCs/>
        </w:rPr>
        <w:t>Section 3035.70  Program Compliance Requirements</w:t>
      </w:r>
      <w:r>
        <w:t xml:space="preserve"> </w:t>
      </w:r>
    </w:p>
    <w:p w:rsidR="0006481E" w:rsidRDefault="0006481E" w:rsidP="0006481E">
      <w:pPr>
        <w:widowControl w:val="0"/>
        <w:autoSpaceDE w:val="0"/>
        <w:autoSpaceDN w:val="0"/>
        <w:adjustRightInd w:val="0"/>
      </w:pPr>
    </w:p>
    <w:p w:rsidR="0006481E" w:rsidRDefault="0006481E" w:rsidP="0006481E">
      <w:pPr>
        <w:widowControl w:val="0"/>
        <w:autoSpaceDE w:val="0"/>
        <w:autoSpaceDN w:val="0"/>
        <w:adjustRightInd w:val="0"/>
        <w:ind w:left="1440" w:hanging="720"/>
      </w:pPr>
      <w:r>
        <w:t>a)</w:t>
      </w:r>
      <w:r>
        <w:tab/>
        <w:t xml:space="preserve">The land to be used in development of boat access areas must be owned in fee simple or leased by the Local Agency.  The Local Agency must provide proof of ownership or lease before plans for the facility can proceed.  The term of the lease is determined by the amount of the contract.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b)</w:t>
      </w:r>
      <w:r>
        <w:tab/>
        <w:t xml:space="preserve">For projects receiving assistance to acquire land for a boat access area, </w:t>
      </w:r>
      <w:r w:rsidR="00EC37E0">
        <w:t xml:space="preserve">an </w:t>
      </w:r>
      <w:r>
        <w:t xml:space="preserve">independent appraisal must be completed by the sponsoring agency and certified by the Department to establish a fair market value for the project property. </w:t>
      </w:r>
      <w:r w:rsidR="00470603">
        <w:t xml:space="preserve"> The appraisal must be completed to Department specifications</w:t>
      </w:r>
      <w:r w:rsidR="000E2E2A">
        <w:t xml:space="preserve"> using the Uniform Standards of Professional Appraisal Practice (USPAP) (2006), available from The Appraisal Foundation, 1155 15</w:t>
      </w:r>
      <w:r w:rsidR="000E2E2A" w:rsidRPr="000E2E2A">
        <w:rPr>
          <w:vertAlign w:val="superscript"/>
        </w:rPr>
        <w:t>th</w:t>
      </w:r>
      <w:r w:rsidR="000E2E2A">
        <w:t xml:space="preserve"> Street NW, Suite 1111, Washington D.C. 20005, (202) 347-7722, </w:t>
      </w:r>
      <w:r w:rsidR="000E2E2A" w:rsidRPr="000E2E2A">
        <w:t>www.appraisalfoundation.org</w:t>
      </w:r>
      <w:r w:rsidR="000E2E2A">
        <w:t xml:space="preserve"> or the Uniform Appraisal Standards for Federal Land Acquisitions (2000), available from the Appraisal Institute, 550 Van Buren Street, Suite 1000, Chicago IL 60607, (312) 335-4100, </w:t>
      </w:r>
      <w:r w:rsidR="000E2E2A" w:rsidRPr="000E2E2A">
        <w:t>www.appraisalinstitute.org</w:t>
      </w:r>
      <w:r w:rsidR="000E2E2A">
        <w:t>.  Applicants should contact DNR for more specific information or applicable appraisal materials</w:t>
      </w:r>
      <w:r>
        <w:t xml:space="preserve">.  Title to any property for which grant reimbursement is sought shall not be taken nor payment made for such property by the sponsoring agency before Department approval is received. Grant payment shall be limited to no more than 90% reimbursement of the certified fair market value and in no case shall exceed actual cash payment for the property.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c)</w:t>
      </w:r>
      <w:r>
        <w:tab/>
        <w:t xml:space="preserve">Land acquired with grant assistance must be subsequently developed as a public boat access area in general accordance with the approved project application proposal within 3 years following the date title is secured for the property. Failure to improve the property for such use within the 3 year time period shall result in the property being considered "converted" from its intended use necessitating remedial action, as specified in subsection (p) by the Local Agency.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d)</w:t>
      </w:r>
      <w:r>
        <w:tab/>
        <w:t xml:space="preserve">The Local Agency is required to enter into a Standard Agreement with the Department in an amount agreed upon by the Local Agency and the Department as that necessary to complete the Department's share of project costs.  Any costs incurred in the development and construction of the facilities in excess of the specified amount shall be paid by the Local Agency.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e)</w:t>
      </w:r>
      <w:r>
        <w:tab/>
        <w:t xml:space="preserve">The Local Agency shall employ a competent engineering or architectural firm to develop necessary plans and specifications and to provide all other necessary design and construction supervision services for an approved project.  The Department may waive this requirement if the </w:t>
      </w:r>
      <w:r w:rsidR="00EC37E0">
        <w:t>Local Agency</w:t>
      </w:r>
      <w:r>
        <w:t xml:space="preserve"> possesses duly licensed and qualified in-house engineering and/or architectural staff capable of performing such services.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f)</w:t>
      </w:r>
      <w:r>
        <w:tab/>
        <w:t xml:space="preserve">If the Local Agency, by its unilateral action, terminates the project at any point short of its completion, the Local Agency shall be liable for all costs incurred and </w:t>
      </w:r>
      <w:r>
        <w:lastRenderedPageBreak/>
        <w:t xml:space="preserve">all monies forwarded to the Local Agency related to the project.  The Local Agency shall agree to indemnify the Department and hold it harmless from any and all liability.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g)</w:t>
      </w:r>
      <w:r>
        <w:tab/>
        <w:t>The Local Agency shall present to the Department</w:t>
      </w:r>
      <w:r w:rsidR="00470603">
        <w:t>, upon request,</w:t>
      </w:r>
      <w:r>
        <w:t xml:space="preserve"> all plans, specifications, contracts or documents and cost estimates for all work to be done by a specified date.  If this date cannot be met, it will be the responsibility of the Local Agency to show cause in writing to the Department.  The plans and specifications shall contain the seal and signature of a registered Professional Engineer or Architect as the case may be.  The Local Agency shall provide documentation to the Department</w:t>
      </w:r>
      <w:r w:rsidR="00470603">
        <w:t>, upon request,</w:t>
      </w:r>
      <w:r>
        <w:t xml:space="preserve"> that advertised bids were published for all work to be completed through public letting for competitive bids and all bidding tabulations shall be submitted to the Department</w:t>
      </w:r>
      <w:r w:rsidR="00470603">
        <w:t>, upon request,</w:t>
      </w:r>
      <w:r>
        <w:t xml:space="preserve"> for approval of the lowest qualified bid.  The Local Agency shall be responsible for the completion of the project within the time period specified in the contract.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h)</w:t>
      </w:r>
      <w:r>
        <w:tab/>
        <w:t xml:space="preserve">The Local Agency shall insert as an integral part of any contract with the approved bidder the following provisions: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1)</w:t>
      </w:r>
      <w:r>
        <w:tab/>
        <w:t xml:space="preserve">That the </w:t>
      </w:r>
      <w:r w:rsidR="000E2E2A">
        <w:t>contractor</w:t>
      </w:r>
      <w:r>
        <w:t xml:space="preserve"> shall abide by and comply with all applicable </w:t>
      </w:r>
      <w:r w:rsidR="000E2E2A">
        <w:t>local</w:t>
      </w:r>
      <w:r>
        <w:t xml:space="preserve">, State and </w:t>
      </w:r>
      <w:r w:rsidR="000E2E2A">
        <w:t>federal</w:t>
      </w:r>
      <w:r>
        <w:t xml:space="preserve"> laws in connection with contracts involving public funds, the construction or development of public buildings, works or facilities.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2)</w:t>
      </w:r>
      <w:r>
        <w:tab/>
        <w:t xml:space="preserve">That the </w:t>
      </w:r>
      <w:r w:rsidR="000E2E2A">
        <w:t>contractor</w:t>
      </w:r>
      <w:r>
        <w:t xml:space="preserve"> shall furnish to the Local Agency and the Department</w:t>
      </w:r>
      <w:r w:rsidR="00470603">
        <w:t>, upon request,</w:t>
      </w:r>
      <w:r>
        <w:t xml:space="preserve"> performance </w:t>
      </w:r>
      <w:r w:rsidR="00EC37E0">
        <w:t>bonds</w:t>
      </w:r>
      <w:r>
        <w:t xml:space="preserve"> with surety or sureties, with penalty or loss clauses, relating to the construction of the proposed facilities and any losses or damages arising out of, or by virtue of </w:t>
      </w:r>
      <w:r w:rsidR="000E2E2A">
        <w:t>the</w:t>
      </w:r>
      <w:r>
        <w:t xml:space="preserve"> construction by the </w:t>
      </w:r>
      <w:r w:rsidR="000E2E2A">
        <w:t>contractor</w:t>
      </w:r>
      <w:r>
        <w:t xml:space="preserve"> of the specified boat launching facilities, insuring, benefitting and protecting the Local Agency and the Department.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3)</w:t>
      </w:r>
      <w:r>
        <w:tab/>
        <w:t xml:space="preserve">That the </w:t>
      </w:r>
      <w:r w:rsidR="000E2E2A">
        <w:t>contractor</w:t>
      </w:r>
      <w:r>
        <w:t xml:space="preserve"> shall personally and individually agree to furnish evidence of insurance, indemnify, protect, defend at its own cost, and hold harmless the Local Agency and the Department from and against all losses, damages, injuries, costs, expenses or claims to or by persons or property arising out of, through, under or by virtue of the construction and development of the specified boat launching or access facilities.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i)</w:t>
      </w:r>
      <w:r>
        <w:tab/>
        <w:t xml:space="preserve">Upon the Department's receipt </w:t>
      </w:r>
      <w:r w:rsidR="000E2E2A">
        <w:t xml:space="preserve">from the Local Agency </w:t>
      </w:r>
      <w:r>
        <w:t xml:space="preserve">of each progress report or pay estimate </w:t>
      </w:r>
      <w:r w:rsidR="009D71D9">
        <w:t>that</w:t>
      </w:r>
      <w:r>
        <w:t xml:space="preserve"> is within the scope of the contract, the Department shall issue payment.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j)</w:t>
      </w:r>
      <w:r>
        <w:tab/>
        <w:t xml:space="preserve">The Local Agency shall agree to display a Boat Access Area Development grant program sign provided by the Department at the project site for the period of time indicated in </w:t>
      </w:r>
      <w:r w:rsidR="000E2E2A">
        <w:t>subsection</w:t>
      </w:r>
      <w:r w:rsidR="000E2E2A" w:rsidDel="000E2E2A">
        <w:t xml:space="preserve"> </w:t>
      </w:r>
      <w:r>
        <w:t>(</w:t>
      </w:r>
      <w:r w:rsidR="00EC37E0">
        <w:t>q</w:t>
      </w:r>
      <w:r>
        <w:t xml:space="preserve">).  The Local Agency may substitute a comparable sign of its own design if approved by the Department.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lastRenderedPageBreak/>
        <w:t>k)</w:t>
      </w:r>
      <w:r>
        <w:tab/>
        <w:t xml:space="preserve">A Department representative will be available for assistance upon request.  A final inspection of the completed project must be made by the Department prior to final grant payment to the Local Agency.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l)</w:t>
      </w:r>
      <w:r>
        <w:tab/>
        <w:t xml:space="preserve">The Local Agency shall indemnify, protect, defend and hold harmless the Department from any and all liability, costs, damages, expenses, or claims arising under, through or by virtue of the construction, operation and maintenance of the proposed boat launching and access facilities.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m)</w:t>
      </w:r>
      <w:r>
        <w:tab/>
        <w:t xml:space="preserve">The Local Agency shall be responsible for and obtain all necessary </w:t>
      </w:r>
      <w:r w:rsidR="000E2E2A">
        <w:t>permits</w:t>
      </w:r>
      <w:r>
        <w:t xml:space="preserve">, </w:t>
      </w:r>
      <w:r w:rsidR="000E2E2A">
        <w:t>licenses or forms of consent</w:t>
      </w:r>
      <w:r>
        <w:t xml:space="preserve"> from, but not limited to</w:t>
      </w:r>
      <w:r w:rsidR="00BB4E1B">
        <w:t>,</w:t>
      </w:r>
      <w:r>
        <w:t xml:space="preserve"> the following agencies: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1)</w:t>
      </w:r>
      <w:r>
        <w:tab/>
        <w:t xml:space="preserve">U.S. Army Corps of Engineers.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2)</w:t>
      </w:r>
      <w:r>
        <w:tab/>
        <w:t xml:space="preserve">Illinois Department of Natural Resources regarding cultural resources, endangered species, wetlands, and water resource impacts.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3)</w:t>
      </w:r>
      <w:r>
        <w:tab/>
        <w:t xml:space="preserve">Illinois Department of Transportation (Division of Highways).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4)</w:t>
      </w:r>
      <w:r>
        <w:tab/>
        <w:t xml:space="preserve">Environmental Protection Agency.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5)</w:t>
      </w:r>
      <w:r>
        <w:tab/>
        <w:t xml:space="preserve">Illinois Historic Preservation Agency.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6)</w:t>
      </w:r>
      <w:r>
        <w:tab/>
        <w:t xml:space="preserve">Local </w:t>
      </w:r>
      <w:r w:rsidR="00BB4E1B">
        <w:t>building</w:t>
      </w:r>
      <w:r>
        <w:t xml:space="preserve"> or </w:t>
      </w:r>
      <w:r w:rsidR="00BB4E1B">
        <w:t>zoning agencies</w:t>
      </w:r>
      <w:r>
        <w:t xml:space="preserve"> or </w:t>
      </w:r>
      <w:r w:rsidR="00BB4E1B">
        <w:t>boards</w:t>
      </w:r>
      <w:r>
        <w:t xml:space="preserve">, where applicable.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n)</w:t>
      </w:r>
      <w:r>
        <w:tab/>
        <w:t xml:space="preserve">The Local Agency agrees to comply with the Recreational Area Licensing Act [210 ILCS 95] and the Environmental Barriers Act [410 ILCS 25].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o)</w:t>
      </w:r>
      <w:r>
        <w:tab/>
        <w:t xml:space="preserve">The Local Agency shall agree to abide by the following </w:t>
      </w:r>
      <w:r w:rsidR="00BB4E1B">
        <w:t>operation</w:t>
      </w:r>
      <w:r>
        <w:t xml:space="preserve"> and </w:t>
      </w:r>
      <w:r w:rsidR="00BB4E1B">
        <w:t>maintenance</w:t>
      </w:r>
      <w:r>
        <w:t xml:space="preserve"> provisions: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1)</w:t>
      </w:r>
      <w:r>
        <w:tab/>
        <w:t xml:space="preserve">General.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A)</w:t>
      </w:r>
      <w:r>
        <w:tab/>
        <w:t xml:space="preserve">Operation and maintenance of the grant project facility is the responsibility of the Local Agency.  The boat launching and access facilities shall be continuously operated and maintained by the Local Agency at no cost to the Department and shall be operated and utilized in a manner </w:t>
      </w:r>
      <w:r w:rsidR="00BB4E1B">
        <w:t>that maximizes</w:t>
      </w:r>
      <w:r>
        <w:t xml:space="preserve"> the intended benefits to and for the general public.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B)</w:t>
      </w:r>
      <w:r>
        <w:tab/>
        <w:t xml:space="preserve">All land and water areas </w:t>
      </w:r>
      <w:r w:rsidR="00BB4E1B">
        <w:t>that</w:t>
      </w:r>
      <w:r>
        <w:t xml:space="preserve"> are open to the public shall be available for use and enjoyment by the public without regard to race</w:t>
      </w:r>
      <w:r w:rsidR="00C97E67">
        <w:t xml:space="preserve"> or</w:t>
      </w:r>
      <w:r>
        <w:t xml:space="preserve"> color, sex, national origin, age or disability.  No lessee or licensee of an area under a concessionaire providing a service to the public, including facilities and accommodations, shall discriminate against any person or persons because of race, color, sex, national origin, age or disability in the conduct of its operation under the lease, license or concession agreement.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C)</w:t>
      </w:r>
      <w:r>
        <w:tab/>
        <w:t xml:space="preserve">No improvements, alterations or </w:t>
      </w:r>
      <w:r w:rsidR="00EC37E0">
        <w:t>modifications</w:t>
      </w:r>
      <w:r>
        <w:t xml:space="preserve"> of these facilities shall be permitted except with the prior approval in writing by the Department. </w:t>
      </w:r>
      <w:r w:rsidR="0064078F">
        <w:t xml:space="preserve"> </w:t>
      </w:r>
      <w:r>
        <w:t xml:space="preserve">Approval will be given by the Department if the improvements, alterations or modifications comply with the criteria in Section 3035.50.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D)</w:t>
      </w:r>
      <w:r>
        <w:tab/>
        <w:t xml:space="preserve">The Department shall have access to all facilities at all times to ensure management and use of </w:t>
      </w:r>
      <w:r w:rsidR="00BB4E1B">
        <w:t>the</w:t>
      </w:r>
      <w:r>
        <w:t xml:space="preserve"> facilities are in compliance with specified program regulations.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E)</w:t>
      </w:r>
      <w:r>
        <w:tab/>
        <w:t xml:space="preserve">Boats with gasoline or diesel motors shall not be prohibited from using any facility funded through State Boating Act Funds to launch and recover unless the facility is a designated canoe launch facility as approved by the Department.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2)</w:t>
      </w:r>
      <w:r>
        <w:tab/>
        <w:t xml:space="preserve">User Fees.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A)</w:t>
      </w:r>
      <w:r>
        <w:tab/>
        <w:t xml:space="preserve">The Department discourages the charging of user fees; however, the Local Agency may, by formal resolution of the governing unit, charge minimal fees to offset operation and maintenance, security, and public health and safety costs.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B)</w:t>
      </w:r>
      <w:r>
        <w:tab/>
        <w:t>In the case of locally owned water impoundments</w:t>
      </w:r>
      <w:r w:rsidR="00BB4E1B">
        <w:t>,</w:t>
      </w:r>
      <w:r>
        <w:t xml:space="preserve"> the incurred costs to be offset may also include navigational aids, rescue aids, water patrol and other related costs </w:t>
      </w:r>
      <w:r w:rsidR="00BB4E1B">
        <w:t>that</w:t>
      </w:r>
      <w:r>
        <w:t xml:space="preserve"> are absolutely necessary.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C)</w:t>
      </w:r>
      <w:r>
        <w:tab/>
        <w:t xml:space="preserve">No other costs will be allowed in calculating the minimal fee.  Any discretionary fee for special services </w:t>
      </w:r>
      <w:r w:rsidR="00BB4E1B">
        <w:t>that</w:t>
      </w:r>
      <w:r>
        <w:t xml:space="preserve"> is not a part of the project funded from Marine Motor Fuel Tax Revenue, such as boat slips, moorings or other services that cannot be used by all boaters, shall be levied separately.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D)</w:t>
      </w:r>
      <w:r>
        <w:tab/>
        <w:t xml:space="preserve">The setting, administering and justifying of the fees to the general public is primarily the responsibility of the Local Agency.  The Department reserves the right to ensure that any fee is within the scope of the contract.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E)</w:t>
      </w:r>
      <w:r>
        <w:tab/>
        <w:t xml:space="preserve">The Local Agency shall maintain accounting records to explain receipt and deposition of all fees related to the launching facility and the Department may request or audit </w:t>
      </w:r>
      <w:r w:rsidR="00BB4E1B">
        <w:t>those</w:t>
      </w:r>
      <w:r>
        <w:t xml:space="preserve"> records at anytime to ensure the revenue received from the fees is being used to operate and maintain the facility. </w:t>
      </w:r>
      <w:r w:rsidR="0064078F">
        <w:t xml:space="preserve"> </w:t>
      </w:r>
      <w:r w:rsidR="00470603" w:rsidRPr="00FF4F50">
        <w:t>All financial records on approved projects must be maintained and retained, in accordance with State laws, by the project sponsor for possible State audit after final reimbursement payment is made by the Department.</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F)</w:t>
      </w:r>
      <w:r>
        <w:tab/>
        <w:t>If fees are determined necessary by the Local Agency, the charging of reasonable daily fees</w:t>
      </w:r>
      <w:r w:rsidR="00BB4E1B">
        <w:t>,</w:t>
      </w:r>
      <w:r>
        <w:t xml:space="preserve"> as well as seasonal use fees</w:t>
      </w:r>
      <w:r w:rsidR="00BB4E1B">
        <w:t>,</w:t>
      </w:r>
      <w:r>
        <w:t xml:space="preserve"> shall be provided to assure that the occasional user is afforded access to the waters served by the facility.  In the event the boat access facility is within the boundaries of a public park or recreational area, no annual fee shall be required </w:t>
      </w:r>
      <w:r w:rsidR="00BB4E1B">
        <w:t xml:space="preserve">of </w:t>
      </w:r>
      <w:r>
        <w:t xml:space="preserve">non-park district residents using only the boat launching facility constructed or improved with the aid of this grant.  However, a daily fee may be required by the Local Agency provided it does not exceed the annual park district fee for residents, computed on a daily basis.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G)</w:t>
      </w:r>
      <w:r>
        <w:tab/>
        <w:t xml:space="preserve">Prior to charging of user fees, the Local Agency is required to give public notice of </w:t>
      </w:r>
      <w:r w:rsidR="00BB4E1B">
        <w:t>the</w:t>
      </w:r>
      <w:r>
        <w:t xml:space="preserve"> fees at least 30 days in advance of the effective date of </w:t>
      </w:r>
      <w:r w:rsidR="00BB4E1B">
        <w:t>the</w:t>
      </w:r>
      <w:r>
        <w:t xml:space="preserve"> fees and provide a copy of the proposed fee schedule and the public notice to the Department prior to implementation.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H)</w:t>
      </w:r>
      <w:r>
        <w:tab/>
        <w:t xml:space="preserve">The method of collecting fees shall be established by the Local Agency.  However, the general public shall not be restricted from use of the facility upon arrival if an authorized representative of the Local Agency is not present to receive the required fee. </w:t>
      </w:r>
    </w:p>
    <w:p w:rsidR="00B2275F" w:rsidRDefault="00B2275F" w:rsidP="0006481E">
      <w:pPr>
        <w:widowControl w:val="0"/>
        <w:autoSpaceDE w:val="0"/>
        <w:autoSpaceDN w:val="0"/>
        <w:adjustRightInd w:val="0"/>
        <w:ind w:left="2880" w:hanging="720"/>
      </w:pPr>
    </w:p>
    <w:p w:rsidR="0006481E" w:rsidRDefault="0006481E" w:rsidP="0006481E">
      <w:pPr>
        <w:widowControl w:val="0"/>
        <w:autoSpaceDE w:val="0"/>
        <w:autoSpaceDN w:val="0"/>
        <w:adjustRightInd w:val="0"/>
        <w:ind w:left="2880" w:hanging="720"/>
      </w:pPr>
      <w:r>
        <w:t>I)</w:t>
      </w:r>
      <w:r>
        <w:tab/>
        <w:t xml:space="preserve">An information sign </w:t>
      </w:r>
      <w:r w:rsidR="00BB4E1B">
        <w:t>that</w:t>
      </w:r>
      <w:r>
        <w:t xml:space="preserve"> lists rules and regulations regarding fees shall be posted in a conspicuous place near a boat ramp or launching site.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p)</w:t>
      </w:r>
      <w:r>
        <w:tab/>
        <w:t xml:space="preserve">Properties acquired or developed with grant assistance must not be converted to a use </w:t>
      </w:r>
      <w:r w:rsidR="00BB4E1B">
        <w:t>that</w:t>
      </w:r>
      <w:r>
        <w:t xml:space="preserve"> would deny public boat access and use of Illinois' surface waters per terms of this Part without prior Department of Natural Resources approval. </w:t>
      </w:r>
      <w:r w:rsidR="0064078F">
        <w:t xml:space="preserve"> </w:t>
      </w:r>
      <w:r>
        <w:t xml:space="preserve">Approval for conversion of property acquired per terms of this Part shall only be granted upon the following: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1)</w:t>
      </w:r>
      <w:r>
        <w:tab/>
        <w:t xml:space="preserve">the </w:t>
      </w:r>
      <w:r w:rsidR="00EC37E0">
        <w:t>Local Agency</w:t>
      </w:r>
      <w:r w:rsidR="00BB4E1B">
        <w:t xml:space="preserve"> provides</w:t>
      </w:r>
      <w:r>
        <w:t xml:space="preserve"> replacement property of at least equal fair market value and comparable recreational usefulness, quality and general location; or </w:t>
      </w:r>
    </w:p>
    <w:p w:rsidR="00B2275F" w:rsidRDefault="00B2275F" w:rsidP="0006481E">
      <w:pPr>
        <w:widowControl w:val="0"/>
        <w:autoSpaceDE w:val="0"/>
        <w:autoSpaceDN w:val="0"/>
        <w:adjustRightInd w:val="0"/>
        <w:ind w:left="2160" w:hanging="720"/>
      </w:pPr>
    </w:p>
    <w:p w:rsidR="0006481E" w:rsidRDefault="0006481E" w:rsidP="0006481E">
      <w:pPr>
        <w:widowControl w:val="0"/>
        <w:autoSpaceDE w:val="0"/>
        <w:autoSpaceDN w:val="0"/>
        <w:adjustRightInd w:val="0"/>
        <w:ind w:left="2160" w:hanging="720"/>
      </w:pPr>
      <w:r>
        <w:t>2)</w:t>
      </w:r>
      <w:r>
        <w:tab/>
        <w:t xml:space="preserve">the repayment of funds to the State of Illinois </w:t>
      </w:r>
      <w:r w:rsidR="00BB4E1B">
        <w:t>equals</w:t>
      </w:r>
      <w:r>
        <w:t xml:space="preserve"> the actual amount of grant funds or 50% of the property's certified fair market value at the time of conversion, whichever is greater.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q)</w:t>
      </w:r>
      <w:r>
        <w:tab/>
        <w:t xml:space="preserve">For projects receiving development/construction grant assistance only, terms of the grant agreement between the Local Agency and the Department shall no longer apply after the time period established </w:t>
      </w:r>
      <w:r w:rsidR="00BB4E1B">
        <w:t>in this subsection</w:t>
      </w:r>
      <w:r>
        <w:t xml:space="preserve"> relating to the total amount of grant funds received. </w:t>
      </w:r>
    </w:p>
    <w:p w:rsidR="0006481E" w:rsidRDefault="0006481E" w:rsidP="0006481E">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3477"/>
        <w:gridCol w:w="855"/>
        <w:gridCol w:w="2907"/>
      </w:tblGrid>
      <w:tr w:rsidR="001D1D4B" w:rsidTr="005B0E74">
        <w:tblPrEx>
          <w:tblCellMar>
            <w:top w:w="0" w:type="dxa"/>
            <w:bottom w:w="0" w:type="dxa"/>
          </w:tblCellMar>
        </w:tblPrEx>
        <w:trPr>
          <w:trHeight w:val="93"/>
        </w:trPr>
        <w:tc>
          <w:tcPr>
            <w:tcW w:w="3477" w:type="dxa"/>
            <w:tcBorders>
              <w:bottom w:val="single" w:sz="4" w:space="0" w:color="auto"/>
            </w:tcBorders>
            <w:vAlign w:val="bottom"/>
          </w:tcPr>
          <w:p w:rsidR="001D1D4B" w:rsidRPr="008A4C75" w:rsidRDefault="001D1D4B" w:rsidP="008A33F7">
            <w:pPr>
              <w:widowControl w:val="0"/>
              <w:autoSpaceDE w:val="0"/>
              <w:autoSpaceDN w:val="0"/>
              <w:adjustRightInd w:val="0"/>
              <w:jc w:val="center"/>
            </w:pPr>
            <w:r>
              <w:t>Total Grant Amount</w:t>
            </w:r>
          </w:p>
        </w:tc>
        <w:tc>
          <w:tcPr>
            <w:tcW w:w="855" w:type="dxa"/>
          </w:tcPr>
          <w:p w:rsidR="001D1D4B" w:rsidRDefault="001D1D4B" w:rsidP="008A33F7">
            <w:pPr>
              <w:widowControl w:val="0"/>
              <w:autoSpaceDE w:val="0"/>
              <w:autoSpaceDN w:val="0"/>
              <w:adjustRightInd w:val="0"/>
              <w:jc w:val="center"/>
            </w:pPr>
          </w:p>
        </w:tc>
        <w:tc>
          <w:tcPr>
            <w:tcW w:w="2907" w:type="dxa"/>
            <w:tcBorders>
              <w:bottom w:val="single" w:sz="4" w:space="0" w:color="auto"/>
            </w:tcBorders>
            <w:vAlign w:val="bottom"/>
          </w:tcPr>
          <w:p w:rsidR="001D1D4B" w:rsidRDefault="001D1D4B" w:rsidP="008A33F7">
            <w:pPr>
              <w:widowControl w:val="0"/>
              <w:autoSpaceDE w:val="0"/>
              <w:autoSpaceDN w:val="0"/>
              <w:adjustRightInd w:val="0"/>
              <w:jc w:val="center"/>
            </w:pPr>
            <w:r>
              <w:t>Time Period After Receipt of Final Grant Payment</w:t>
            </w:r>
          </w:p>
        </w:tc>
      </w:tr>
      <w:tr w:rsidR="001D1D4B">
        <w:tblPrEx>
          <w:tblCellMar>
            <w:top w:w="0" w:type="dxa"/>
            <w:bottom w:w="0" w:type="dxa"/>
          </w:tblCellMar>
        </w:tblPrEx>
        <w:trPr>
          <w:trHeight w:val="713"/>
        </w:trPr>
        <w:tc>
          <w:tcPr>
            <w:tcW w:w="3477" w:type="dxa"/>
            <w:tcBorders>
              <w:top w:val="single" w:sz="4" w:space="0" w:color="auto"/>
            </w:tcBorders>
            <w:vAlign w:val="center"/>
          </w:tcPr>
          <w:p w:rsidR="001D1D4B" w:rsidRDefault="0058100C" w:rsidP="005B0E74">
            <w:pPr>
              <w:widowControl w:val="0"/>
              <w:autoSpaceDE w:val="0"/>
              <w:autoSpaceDN w:val="0"/>
              <w:adjustRightInd w:val="0"/>
              <w:ind w:left="645"/>
            </w:pPr>
            <w:r>
              <w:t>$</w:t>
            </w:r>
            <w:r w:rsidR="001D1D4B">
              <w:t>0-$25,000</w:t>
            </w:r>
          </w:p>
        </w:tc>
        <w:tc>
          <w:tcPr>
            <w:tcW w:w="855" w:type="dxa"/>
            <w:vAlign w:val="center"/>
          </w:tcPr>
          <w:p w:rsidR="001D1D4B" w:rsidRDefault="001D1D4B" w:rsidP="008A33F7">
            <w:pPr>
              <w:widowControl w:val="0"/>
              <w:autoSpaceDE w:val="0"/>
              <w:autoSpaceDN w:val="0"/>
              <w:adjustRightInd w:val="0"/>
              <w:ind w:left="1260"/>
            </w:pPr>
          </w:p>
        </w:tc>
        <w:tc>
          <w:tcPr>
            <w:tcW w:w="2907" w:type="dxa"/>
            <w:tcBorders>
              <w:top w:val="single" w:sz="4" w:space="0" w:color="auto"/>
            </w:tcBorders>
            <w:vAlign w:val="center"/>
          </w:tcPr>
          <w:p w:rsidR="001D1D4B" w:rsidRDefault="001D1D4B" w:rsidP="005B0E74">
            <w:pPr>
              <w:widowControl w:val="0"/>
              <w:autoSpaceDE w:val="0"/>
              <w:autoSpaceDN w:val="0"/>
              <w:adjustRightInd w:val="0"/>
              <w:ind w:left="-105" w:right="-102"/>
              <w:jc w:val="center"/>
            </w:pPr>
            <w:r>
              <w:t>7 years</w:t>
            </w:r>
          </w:p>
        </w:tc>
      </w:tr>
      <w:tr w:rsidR="001D1D4B">
        <w:tblPrEx>
          <w:tblCellMar>
            <w:top w:w="0" w:type="dxa"/>
            <w:bottom w:w="0" w:type="dxa"/>
          </w:tblCellMar>
        </w:tblPrEx>
        <w:trPr>
          <w:trHeight w:val="513"/>
        </w:trPr>
        <w:tc>
          <w:tcPr>
            <w:tcW w:w="3477" w:type="dxa"/>
            <w:vAlign w:val="center"/>
          </w:tcPr>
          <w:p w:rsidR="001D1D4B" w:rsidRDefault="001D1D4B" w:rsidP="005B0E74">
            <w:pPr>
              <w:widowControl w:val="0"/>
              <w:autoSpaceDE w:val="0"/>
              <w:autoSpaceDN w:val="0"/>
              <w:adjustRightInd w:val="0"/>
              <w:ind w:left="645"/>
            </w:pPr>
            <w:r>
              <w:t>$</w:t>
            </w:r>
            <w:r w:rsidR="00470603">
              <w:t>25,001-</w:t>
            </w:r>
            <w:r>
              <w:t>-$100,000</w:t>
            </w:r>
          </w:p>
        </w:tc>
        <w:tc>
          <w:tcPr>
            <w:tcW w:w="855" w:type="dxa"/>
            <w:vAlign w:val="center"/>
          </w:tcPr>
          <w:p w:rsidR="001D1D4B" w:rsidRDefault="001D1D4B" w:rsidP="008A33F7">
            <w:pPr>
              <w:widowControl w:val="0"/>
              <w:autoSpaceDE w:val="0"/>
              <w:autoSpaceDN w:val="0"/>
              <w:adjustRightInd w:val="0"/>
              <w:ind w:left="1260"/>
            </w:pPr>
          </w:p>
        </w:tc>
        <w:tc>
          <w:tcPr>
            <w:tcW w:w="2907" w:type="dxa"/>
            <w:vAlign w:val="center"/>
          </w:tcPr>
          <w:p w:rsidR="001D1D4B" w:rsidRDefault="001D1D4B" w:rsidP="005B0E74">
            <w:pPr>
              <w:widowControl w:val="0"/>
              <w:autoSpaceDE w:val="0"/>
              <w:autoSpaceDN w:val="0"/>
              <w:adjustRightInd w:val="0"/>
              <w:ind w:left="-105" w:right="-102"/>
              <w:jc w:val="center"/>
            </w:pPr>
            <w:r>
              <w:t>12 years</w:t>
            </w:r>
          </w:p>
        </w:tc>
      </w:tr>
      <w:tr w:rsidR="00470603">
        <w:tblPrEx>
          <w:tblCellMar>
            <w:top w:w="0" w:type="dxa"/>
            <w:bottom w:w="0" w:type="dxa"/>
          </w:tblCellMar>
        </w:tblPrEx>
        <w:trPr>
          <w:trHeight w:val="513"/>
        </w:trPr>
        <w:tc>
          <w:tcPr>
            <w:tcW w:w="3477" w:type="dxa"/>
            <w:vAlign w:val="center"/>
          </w:tcPr>
          <w:p w:rsidR="00470603" w:rsidRDefault="00470603" w:rsidP="005B0E74">
            <w:pPr>
              <w:widowControl w:val="0"/>
              <w:autoSpaceDE w:val="0"/>
              <w:autoSpaceDN w:val="0"/>
              <w:adjustRightInd w:val="0"/>
              <w:ind w:left="645"/>
            </w:pPr>
            <w:r>
              <w:t>$100,001-$200,000</w:t>
            </w:r>
          </w:p>
        </w:tc>
        <w:tc>
          <w:tcPr>
            <w:tcW w:w="855" w:type="dxa"/>
            <w:vAlign w:val="center"/>
          </w:tcPr>
          <w:p w:rsidR="00470603" w:rsidRDefault="00470603" w:rsidP="008A33F7">
            <w:pPr>
              <w:widowControl w:val="0"/>
              <w:autoSpaceDE w:val="0"/>
              <w:autoSpaceDN w:val="0"/>
              <w:adjustRightInd w:val="0"/>
              <w:ind w:left="1260"/>
            </w:pPr>
          </w:p>
        </w:tc>
        <w:tc>
          <w:tcPr>
            <w:tcW w:w="2907" w:type="dxa"/>
            <w:vAlign w:val="center"/>
          </w:tcPr>
          <w:p w:rsidR="00470603" w:rsidRDefault="00470603" w:rsidP="005B0E74">
            <w:pPr>
              <w:widowControl w:val="0"/>
              <w:autoSpaceDE w:val="0"/>
              <w:autoSpaceDN w:val="0"/>
              <w:adjustRightInd w:val="0"/>
              <w:ind w:left="-105" w:right="-102"/>
              <w:jc w:val="center"/>
            </w:pPr>
            <w:r>
              <w:t>17 years</w:t>
            </w:r>
          </w:p>
        </w:tc>
      </w:tr>
    </w:tbl>
    <w:p w:rsidR="0006481E" w:rsidRDefault="0006481E"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r)</w:t>
      </w:r>
      <w:r>
        <w:tab/>
        <w:t xml:space="preserve">Leasing or assignment of a Department funded facility is prohibited without prior approval of the Department.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s)</w:t>
      </w:r>
      <w:r>
        <w:tab/>
        <w:t>The Local Agency shall agree that</w:t>
      </w:r>
      <w:r w:rsidR="00FF2866">
        <w:t>,</w:t>
      </w:r>
      <w:r>
        <w:t xml:space="preserve"> in the event of its breach or non-compliance with any of the terms of the agreement between the Local Agency and the Department</w:t>
      </w:r>
      <w:r w:rsidR="00FF2866">
        <w:t>,</w:t>
      </w:r>
      <w:r>
        <w:t xml:space="preserve"> 10 days following receipt of a written notice from the Department of the existence of </w:t>
      </w:r>
      <w:r w:rsidR="00FF2866">
        <w:t>the</w:t>
      </w:r>
      <w:r>
        <w:t xml:space="preserve"> breach or non-compliance, if </w:t>
      </w:r>
      <w:r w:rsidR="00FF2866">
        <w:t>the</w:t>
      </w:r>
      <w:r>
        <w:t xml:space="preserve"> condition is not corrected within this 10 day period, the Department shall have full right and authority to take </w:t>
      </w:r>
      <w:r w:rsidR="00FF2866">
        <w:t>the</w:t>
      </w:r>
      <w:r>
        <w:t xml:space="preserve"> action it deems necessary</w:t>
      </w:r>
      <w:r w:rsidR="00FF2866">
        <w:t>,</w:t>
      </w:r>
      <w:r>
        <w:t xml:space="preserve"> whether by way of injunction or otherwise</w:t>
      </w:r>
      <w:r w:rsidR="00FF2866">
        <w:t>,</w:t>
      </w:r>
      <w:r>
        <w:t xml:space="preserve"> to enforce the provisions of the agreement. </w:t>
      </w:r>
      <w:r w:rsidR="00FF2866">
        <w:t xml:space="preserve"> In</w:t>
      </w:r>
      <w:r>
        <w:t xml:space="preserve"> the event it is adjudicated by any court that </w:t>
      </w:r>
      <w:r w:rsidR="00FF2866">
        <w:t>the Local Agency's</w:t>
      </w:r>
      <w:r>
        <w:t xml:space="preserve"> activities are deemed to be a breach or violation of the agreement, as a part of the relief awarded to the Department, the Local Agency will reimburse the Department for the legal fees and all costs incurred by the Department in the pursuit of its rights under this </w:t>
      </w:r>
      <w:r w:rsidR="00FF2866">
        <w:t>subsection</w:t>
      </w:r>
      <w:r>
        <w:t xml:space="preserve">.  For purposes of this </w:t>
      </w:r>
      <w:r w:rsidR="00FF2866">
        <w:t>subsection</w:t>
      </w:r>
      <w:r>
        <w:t xml:space="preserve">, "legal fees" shall be deemed to be the entire sum presented for payment by any attorney or law firm to the Department relating to the claim of the Department alleging the Local Agency's breach or violation, </w:t>
      </w:r>
      <w:r w:rsidR="00FF2866">
        <w:t>that</w:t>
      </w:r>
      <w:r>
        <w:t xml:space="preserve"> sum being approved for payment by the Attorney General's office of the State of Illinois.  For purposes of this </w:t>
      </w:r>
      <w:r w:rsidR="009D71D9">
        <w:t>subsection</w:t>
      </w:r>
      <w:r>
        <w:t xml:space="preserve">, "costs" shall be deemed to be all those expenses, including court costs, reasonably incurred by the Department.  In the event of breach of the agreement, the Department reserves the right to demand return of any </w:t>
      </w:r>
      <w:r w:rsidR="00FF2866">
        <w:t>State</w:t>
      </w:r>
      <w:r>
        <w:t xml:space="preserve"> funds awarded under the agreement. </w:t>
      </w:r>
    </w:p>
    <w:p w:rsidR="00B2275F" w:rsidRDefault="00B2275F" w:rsidP="0006481E">
      <w:pPr>
        <w:widowControl w:val="0"/>
        <w:autoSpaceDE w:val="0"/>
        <w:autoSpaceDN w:val="0"/>
        <w:adjustRightInd w:val="0"/>
        <w:ind w:left="1440" w:hanging="720"/>
      </w:pPr>
    </w:p>
    <w:p w:rsidR="0006481E" w:rsidRDefault="0006481E" w:rsidP="0006481E">
      <w:pPr>
        <w:widowControl w:val="0"/>
        <w:autoSpaceDE w:val="0"/>
        <w:autoSpaceDN w:val="0"/>
        <w:adjustRightInd w:val="0"/>
        <w:ind w:left="1440" w:hanging="720"/>
      </w:pPr>
      <w:r>
        <w:t>t)</w:t>
      </w:r>
      <w:r>
        <w:tab/>
        <w:t xml:space="preserve">The Local Agency shall agree that the Department reserves the right to audit records relative to the agreement. </w:t>
      </w:r>
    </w:p>
    <w:p w:rsidR="0006481E" w:rsidRDefault="0006481E" w:rsidP="0006481E">
      <w:pPr>
        <w:widowControl w:val="0"/>
        <w:autoSpaceDE w:val="0"/>
        <w:autoSpaceDN w:val="0"/>
        <w:adjustRightInd w:val="0"/>
        <w:ind w:left="1440" w:hanging="720"/>
      </w:pPr>
    </w:p>
    <w:p w:rsidR="00470603" w:rsidRPr="00D55B37" w:rsidRDefault="00470603">
      <w:pPr>
        <w:pStyle w:val="JCARSourceNote"/>
        <w:ind w:left="720"/>
      </w:pPr>
      <w:r w:rsidRPr="00D55B37">
        <w:t xml:space="preserve">(Source:  </w:t>
      </w:r>
      <w:r>
        <w:t>Amended</w:t>
      </w:r>
      <w:r w:rsidRPr="00D55B37">
        <w:t xml:space="preserve"> at </w:t>
      </w:r>
      <w:r>
        <w:t>31 I</w:t>
      </w:r>
      <w:r w:rsidRPr="00D55B37">
        <w:t xml:space="preserve">ll. Reg. </w:t>
      </w:r>
      <w:r w:rsidR="00AC6DD4">
        <w:t>9237</w:t>
      </w:r>
      <w:r w:rsidRPr="00D55B37">
        <w:t xml:space="preserve">, effective </w:t>
      </w:r>
      <w:r w:rsidR="00AC6DD4">
        <w:t>June 18, 2007</w:t>
      </w:r>
      <w:r w:rsidRPr="00D55B37">
        <w:t>)</w:t>
      </w:r>
    </w:p>
    <w:sectPr w:rsidR="00470603" w:rsidRPr="00D55B37" w:rsidSect="000648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481E"/>
    <w:rsid w:val="0006481E"/>
    <w:rsid w:val="000E0CEE"/>
    <w:rsid w:val="000E2E2A"/>
    <w:rsid w:val="001D1D4B"/>
    <w:rsid w:val="00470603"/>
    <w:rsid w:val="0058100C"/>
    <w:rsid w:val="005B0E74"/>
    <w:rsid w:val="005C3366"/>
    <w:rsid w:val="0064078F"/>
    <w:rsid w:val="007759F6"/>
    <w:rsid w:val="008A33F7"/>
    <w:rsid w:val="008A4C75"/>
    <w:rsid w:val="008E3A04"/>
    <w:rsid w:val="009D71D9"/>
    <w:rsid w:val="00A12BDA"/>
    <w:rsid w:val="00AC6DD4"/>
    <w:rsid w:val="00B2275F"/>
    <w:rsid w:val="00BB4E1B"/>
    <w:rsid w:val="00C97E67"/>
    <w:rsid w:val="00D4017A"/>
    <w:rsid w:val="00E45162"/>
    <w:rsid w:val="00E6715B"/>
    <w:rsid w:val="00EC37E0"/>
    <w:rsid w:val="00FF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0603"/>
  </w:style>
  <w:style w:type="character" w:styleId="Hyperlink">
    <w:name w:val="Hyperlink"/>
    <w:basedOn w:val="DefaultParagraphFont"/>
    <w:rsid w:val="000E2E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0603"/>
  </w:style>
  <w:style w:type="character" w:styleId="Hyperlink">
    <w:name w:val="Hyperlink"/>
    <w:basedOn w:val="DefaultParagraphFont"/>
    <w:rsid w:val="000E2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3035</vt:lpstr>
    </vt:vector>
  </TitlesOfParts>
  <Company>State of Illinois</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3035</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