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33" w:rsidRDefault="00620933" w:rsidP="00620933">
      <w:pPr>
        <w:widowControl w:val="0"/>
        <w:autoSpaceDE w:val="0"/>
        <w:autoSpaceDN w:val="0"/>
        <w:adjustRightInd w:val="0"/>
      </w:pPr>
      <w:bookmarkStart w:id="0" w:name="_GoBack"/>
      <w:bookmarkEnd w:id="0"/>
    </w:p>
    <w:p w:rsidR="00620933" w:rsidRDefault="00620933" w:rsidP="00620933">
      <w:pPr>
        <w:widowControl w:val="0"/>
        <w:autoSpaceDE w:val="0"/>
        <w:autoSpaceDN w:val="0"/>
        <w:adjustRightInd w:val="0"/>
      </w:pPr>
      <w:r>
        <w:rPr>
          <w:b/>
          <w:bCs/>
        </w:rPr>
        <w:t>Section 3706.510  Determination of Regulatory Flood Fringe</w:t>
      </w:r>
      <w:r>
        <w:t xml:space="preserve"> </w:t>
      </w:r>
    </w:p>
    <w:p w:rsidR="00620933" w:rsidRDefault="00620933" w:rsidP="00620933">
      <w:pPr>
        <w:widowControl w:val="0"/>
        <w:autoSpaceDE w:val="0"/>
        <w:autoSpaceDN w:val="0"/>
        <w:adjustRightInd w:val="0"/>
      </w:pPr>
    </w:p>
    <w:p w:rsidR="00620933" w:rsidRDefault="00620933" w:rsidP="00620933">
      <w:pPr>
        <w:widowControl w:val="0"/>
        <w:autoSpaceDE w:val="0"/>
        <w:autoSpaceDN w:val="0"/>
        <w:adjustRightInd w:val="0"/>
      </w:pPr>
      <w:r>
        <w:t xml:space="preserve">Where appropriate, the regulatory flood fringe shall be determined.  The flood fringe, subject only to shallow inundation and low velocity flows, plays a relatively insignificant role in storing and discharging flood flows. Encroachment limits which form the channelward boundary of the flood fringe shall be determined using hydraulic engineering principles.  Equal portions of conveyance shall be removed from each side of the flood plain. </w:t>
      </w:r>
    </w:p>
    <w:sectPr w:rsidR="00620933" w:rsidSect="006209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933"/>
    <w:rsid w:val="000C71C2"/>
    <w:rsid w:val="0031473F"/>
    <w:rsid w:val="005C3366"/>
    <w:rsid w:val="00620933"/>
    <w:rsid w:val="00F7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