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AF" w:rsidRDefault="004206AF" w:rsidP="00420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6AF" w:rsidRDefault="004206AF" w:rsidP="00420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3706.1030  Increase Premium Rates</w:t>
      </w:r>
      <w:r>
        <w:t xml:space="preserve"> </w:t>
      </w:r>
    </w:p>
    <w:p w:rsidR="004206AF" w:rsidRDefault="004206AF" w:rsidP="004206AF">
      <w:pPr>
        <w:widowControl w:val="0"/>
        <w:autoSpaceDE w:val="0"/>
        <w:autoSpaceDN w:val="0"/>
        <w:adjustRightInd w:val="0"/>
      </w:pPr>
    </w:p>
    <w:p w:rsidR="004206AF" w:rsidRDefault="004206AF" w:rsidP="004206AF">
      <w:pPr>
        <w:widowControl w:val="0"/>
        <w:autoSpaceDE w:val="0"/>
        <w:autoSpaceDN w:val="0"/>
        <w:adjustRightInd w:val="0"/>
      </w:pPr>
      <w:r>
        <w:t xml:space="preserve">The applicant for a variance must state that he understands that the variance will result in increased premium rates for flood insurance up to amounts as high as $25 for $100 of insurance coverage, and that the structure is subject to increased risks to life and property. </w:t>
      </w:r>
    </w:p>
    <w:p w:rsidR="004206AF" w:rsidRDefault="004206AF" w:rsidP="004206AF">
      <w:pPr>
        <w:widowControl w:val="0"/>
        <w:autoSpaceDE w:val="0"/>
        <w:autoSpaceDN w:val="0"/>
        <w:adjustRightInd w:val="0"/>
      </w:pPr>
    </w:p>
    <w:p w:rsidR="004206AF" w:rsidRDefault="004206AF" w:rsidP="004206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29, p. 192, effective July 21, 1979) </w:t>
      </w:r>
    </w:p>
    <w:sectPr w:rsidR="004206AF" w:rsidSect="00420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6AF"/>
    <w:rsid w:val="000A27ED"/>
    <w:rsid w:val="003D0A26"/>
    <w:rsid w:val="004206AF"/>
    <w:rsid w:val="005C3366"/>
    <w:rsid w:val="0087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