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F0" w:rsidRDefault="00812FF0" w:rsidP="00812F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FF0" w:rsidRDefault="00812FF0" w:rsidP="00812FF0">
      <w:pPr>
        <w:widowControl w:val="0"/>
        <w:autoSpaceDE w:val="0"/>
        <w:autoSpaceDN w:val="0"/>
        <w:adjustRightInd w:val="0"/>
        <w:jc w:val="center"/>
      </w:pPr>
      <w:r>
        <w:t>SUBPART C:  MANAGEMENT OF ADJACENT LAND (Repealed)</w:t>
      </w:r>
    </w:p>
    <w:sectPr w:rsidR="00812FF0" w:rsidSect="00812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FF0"/>
    <w:rsid w:val="005C3366"/>
    <w:rsid w:val="00812FF0"/>
    <w:rsid w:val="00870D22"/>
    <w:rsid w:val="00BA3645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MANAGEMENT OF ADJACENT LAND (Repealed)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MANAGEMENT OF ADJACENT LAND (Repealed)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