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C7" w:rsidRDefault="00A061C7" w:rsidP="00A06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1C7" w:rsidRDefault="00A061C7" w:rsidP="00A061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415.10  Applicability</w:t>
      </w:r>
      <w:r>
        <w:t xml:space="preserve"> </w:t>
      </w:r>
    </w:p>
    <w:p w:rsidR="00A061C7" w:rsidRDefault="00A061C7" w:rsidP="00A061C7">
      <w:pPr>
        <w:widowControl w:val="0"/>
        <w:autoSpaceDE w:val="0"/>
        <w:autoSpaceDN w:val="0"/>
        <w:adjustRightInd w:val="0"/>
      </w:pPr>
    </w:p>
    <w:p w:rsidR="00A061C7" w:rsidRDefault="00A061C7" w:rsidP="00A061C7">
      <w:pPr>
        <w:widowControl w:val="0"/>
        <w:autoSpaceDE w:val="0"/>
        <w:autoSpaceDN w:val="0"/>
        <w:adjustRightInd w:val="0"/>
      </w:pPr>
      <w:r>
        <w:t xml:space="preserve">This Part applies to </w:t>
      </w:r>
      <w:r w:rsidR="00CD78FC">
        <w:t>adult and juvenile correctional centers and programs within</w:t>
      </w:r>
      <w:r>
        <w:t xml:space="preserve"> the Department of Corrections. </w:t>
      </w:r>
    </w:p>
    <w:p w:rsidR="00A061C7" w:rsidRDefault="00A061C7" w:rsidP="00A061C7">
      <w:pPr>
        <w:widowControl w:val="0"/>
        <w:autoSpaceDE w:val="0"/>
        <w:autoSpaceDN w:val="0"/>
        <w:adjustRightInd w:val="0"/>
      </w:pPr>
    </w:p>
    <w:p w:rsidR="00CD78FC" w:rsidRPr="00D55B37" w:rsidRDefault="00CD78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70BB4">
        <w:t>3883</w:t>
      </w:r>
      <w:r w:rsidRPr="00D55B37">
        <w:t xml:space="preserve">, effective </w:t>
      </w:r>
      <w:r w:rsidR="00D70BB4">
        <w:t>March 1, 2005</w:t>
      </w:r>
      <w:r w:rsidRPr="00D55B37">
        <w:t>)</w:t>
      </w:r>
    </w:p>
    <w:sectPr w:rsidR="00CD78FC" w:rsidRPr="00D55B37" w:rsidSect="00A06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1C7"/>
    <w:rsid w:val="0003695E"/>
    <w:rsid w:val="002D6532"/>
    <w:rsid w:val="005C3366"/>
    <w:rsid w:val="0074487D"/>
    <w:rsid w:val="00A061C7"/>
    <w:rsid w:val="00CD78FC"/>
    <w:rsid w:val="00D37669"/>
    <w:rsid w:val="00D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