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F9" w:rsidRDefault="007D2BF9" w:rsidP="007D2B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2BF9" w:rsidRDefault="007D2BF9" w:rsidP="007D2BF9">
      <w:pPr>
        <w:widowControl w:val="0"/>
        <w:autoSpaceDE w:val="0"/>
        <w:autoSpaceDN w:val="0"/>
        <w:adjustRightInd w:val="0"/>
      </w:pPr>
      <w:r>
        <w:t xml:space="preserve">AUTHORITY:  Implementing Section 3-12-2 and authorized by Section 3-7-1 of the Unified Code of Corrections (Ill. Rev. Stat. 1985, ch. 38, pars. 1003-12-2 and 1003-7-1). </w:t>
      </w:r>
    </w:p>
    <w:sectPr w:rsidR="007D2BF9" w:rsidSect="007D2B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BF9"/>
    <w:rsid w:val="00151DED"/>
    <w:rsid w:val="00354A1F"/>
    <w:rsid w:val="005C3366"/>
    <w:rsid w:val="007D2BF9"/>
    <w:rsid w:val="0088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3-12-2 and authorized by Section 3-7-1 of the Unified Code of Corrections (Ill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3-12-2 and authorized by Section 3-7-1 of the Unified Code of Corrections (Ill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