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89" w:rsidRDefault="00362B89" w:rsidP="00362B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62B89" w:rsidRDefault="00362B89" w:rsidP="00362B89">
      <w:pPr>
        <w:widowControl w:val="0"/>
        <w:autoSpaceDE w:val="0"/>
        <w:autoSpaceDN w:val="0"/>
        <w:adjustRightInd w:val="0"/>
      </w:pPr>
      <w:r>
        <w:t xml:space="preserve">SOURCE:  Adopted at 3 Ill. Reg. 6, p. 125, effective February 19, 1979; codified at 7 Ill. Reg. 14508; recodified from the Department of Law Enforcement to the Department of State Police at 10 Ill. Reg. 3281; amended at 13 Ill. Reg. 8961, effective May 30, 1989; old Part repealed and new Part adopted at 23 Ill. Reg. 7521, effective June 18, 1999. </w:t>
      </w:r>
    </w:p>
    <w:sectPr w:rsidR="00362B89" w:rsidSect="00362B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B89"/>
    <w:rsid w:val="001F78BB"/>
    <w:rsid w:val="00362B89"/>
    <w:rsid w:val="005C3366"/>
    <w:rsid w:val="00664B05"/>
    <w:rsid w:val="006C35DD"/>
    <w:rsid w:val="00CA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General Assembly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