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75" w:rsidRDefault="00972975" w:rsidP="009729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2975" w:rsidRDefault="00972975" w:rsidP="00972975">
      <w:pPr>
        <w:widowControl w:val="0"/>
        <w:autoSpaceDE w:val="0"/>
        <w:autoSpaceDN w:val="0"/>
        <w:adjustRightInd w:val="0"/>
        <w:jc w:val="center"/>
      </w:pPr>
      <w:r>
        <w:t>PART 1282</w:t>
      </w:r>
    </w:p>
    <w:p w:rsidR="00972975" w:rsidRDefault="00972975" w:rsidP="00972975">
      <w:pPr>
        <w:widowControl w:val="0"/>
        <w:autoSpaceDE w:val="0"/>
        <w:autoSpaceDN w:val="0"/>
        <w:adjustRightInd w:val="0"/>
        <w:jc w:val="center"/>
      </w:pPr>
      <w:r>
        <w:t>SEX OFFENDER AND CHILD MURDERER COMMUNITY NOTIFICATION LAW</w:t>
      </w:r>
    </w:p>
    <w:sectPr w:rsidR="00972975" w:rsidSect="009729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2975"/>
    <w:rsid w:val="000B29D4"/>
    <w:rsid w:val="001F7D1A"/>
    <w:rsid w:val="005C3366"/>
    <w:rsid w:val="00972975"/>
    <w:rsid w:val="00B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1282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1282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