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E" w:rsidRDefault="007E342E" w:rsidP="007E34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42E" w:rsidRDefault="007E342E" w:rsidP="007E342E">
      <w:pPr>
        <w:widowControl w:val="0"/>
        <w:autoSpaceDE w:val="0"/>
        <w:autoSpaceDN w:val="0"/>
        <w:adjustRightInd w:val="0"/>
      </w:pPr>
      <w:r>
        <w:t xml:space="preserve">AUTHORITY:  Implementing and authorized by the Missing Children Registration Law [325 ILCS 55] and the Missing Children Records Act [325 ILCS 50]. </w:t>
      </w:r>
    </w:p>
    <w:sectPr w:rsidR="007E342E" w:rsidSect="007E34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42E"/>
    <w:rsid w:val="005C3366"/>
    <w:rsid w:val="00642EBC"/>
    <w:rsid w:val="007E342E"/>
    <w:rsid w:val="008463C5"/>
    <w:rsid w:val="009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Missing Children Registration Law [325 ILCS 55] and the Missing Children Record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Missing Children Registration Law [325 ILCS 55] and the Missing Children Record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